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51A89" w14:textId="77777777" w:rsidR="00FA0999" w:rsidRPr="00FA0999" w:rsidRDefault="00FA0999" w:rsidP="00FA0999">
      <w:pPr>
        <w:spacing w:after="0" w:line="240" w:lineRule="auto"/>
        <w:jc w:val="center"/>
        <w:rPr>
          <w:rFonts w:ascii="Times New Roman" w:eastAsia="Times New Roman" w:hAnsi="Times New Roman" w:cs="Times New Roman"/>
          <w:b/>
          <w:sz w:val="24"/>
          <w:szCs w:val="24"/>
          <w:lang w:val="lt-LT" w:eastAsia="lt-LT"/>
        </w:rPr>
      </w:pPr>
      <w:r w:rsidRPr="00FA0999">
        <w:rPr>
          <w:rFonts w:ascii="Times New Roman" w:eastAsia="Times New Roman" w:hAnsi="Times New Roman" w:cs="Times New Roman"/>
          <w:b/>
          <w:sz w:val="24"/>
          <w:szCs w:val="24"/>
          <w:lang w:val="lt-LT" w:eastAsia="lt-LT"/>
        </w:rPr>
        <w:t>SUSITARIMAS</w:t>
      </w:r>
    </w:p>
    <w:p w14:paraId="4077B064" w14:textId="77777777" w:rsidR="00FA0999" w:rsidRPr="00FA0999" w:rsidRDefault="00FA0999" w:rsidP="00FA0999">
      <w:pPr>
        <w:spacing w:after="0" w:line="240" w:lineRule="auto"/>
        <w:jc w:val="center"/>
        <w:rPr>
          <w:rFonts w:ascii="Times New Roman" w:eastAsia="Times New Roman" w:hAnsi="Times New Roman" w:cs="Times New Roman"/>
          <w:b/>
          <w:sz w:val="24"/>
          <w:szCs w:val="24"/>
          <w:lang w:val="lt-LT" w:eastAsia="lt-LT"/>
        </w:rPr>
      </w:pPr>
      <w:r w:rsidRPr="00FA0999">
        <w:rPr>
          <w:rFonts w:ascii="Times New Roman" w:eastAsia="Times New Roman" w:hAnsi="Times New Roman" w:cs="Times New Roman"/>
          <w:b/>
          <w:sz w:val="24"/>
          <w:szCs w:val="24"/>
          <w:lang w:val="lt-LT" w:eastAsia="lt-LT"/>
        </w:rPr>
        <w:t>DĖL 202</w:t>
      </w:r>
      <w:r w:rsidR="007A0752">
        <w:rPr>
          <w:rFonts w:ascii="Times New Roman" w:eastAsia="Times New Roman" w:hAnsi="Times New Roman" w:cs="Times New Roman"/>
          <w:b/>
          <w:sz w:val="24"/>
          <w:szCs w:val="24"/>
          <w:lang w:val="lt-LT" w:eastAsia="lt-LT"/>
        </w:rPr>
        <w:t>4</w:t>
      </w:r>
      <w:r w:rsidRPr="00FA0999">
        <w:rPr>
          <w:rFonts w:ascii="Times New Roman" w:eastAsia="Times New Roman" w:hAnsi="Times New Roman" w:cs="Times New Roman"/>
          <w:b/>
          <w:sz w:val="24"/>
          <w:szCs w:val="24"/>
          <w:lang w:val="lt-LT" w:eastAsia="lt-LT"/>
        </w:rPr>
        <w:t xml:space="preserve">–2029 M. </w:t>
      </w:r>
      <w:r w:rsidR="00283891">
        <w:rPr>
          <w:rFonts w:ascii="Times New Roman" w:eastAsia="Times New Roman" w:hAnsi="Times New Roman" w:cs="Times New Roman"/>
          <w:b/>
          <w:sz w:val="24"/>
          <w:szCs w:val="24"/>
          <w:lang w:val="lt-LT" w:eastAsia="lt-LT"/>
        </w:rPr>
        <w:t>TELŠIŲ</w:t>
      </w:r>
      <w:r w:rsidRPr="00FA0999">
        <w:rPr>
          <w:rFonts w:ascii="Times New Roman" w:eastAsia="Times New Roman" w:hAnsi="Times New Roman" w:cs="Times New Roman"/>
          <w:b/>
          <w:sz w:val="24"/>
          <w:szCs w:val="24"/>
          <w:lang w:val="lt-LT" w:eastAsia="lt-LT"/>
        </w:rPr>
        <w:t xml:space="preserve"> REGIONO FUNKCINĖS ZONOS </w:t>
      </w:r>
    </w:p>
    <w:p w14:paraId="4AB6D620" w14:textId="77777777" w:rsidR="00FA0999" w:rsidRPr="00FA0999" w:rsidRDefault="00FA0999" w:rsidP="00FA0999">
      <w:pPr>
        <w:spacing w:after="0" w:line="240" w:lineRule="auto"/>
        <w:jc w:val="center"/>
        <w:rPr>
          <w:rFonts w:ascii="Times New Roman" w:eastAsia="Times New Roman" w:hAnsi="Times New Roman" w:cs="Times New Roman"/>
          <w:b/>
          <w:sz w:val="24"/>
          <w:szCs w:val="24"/>
          <w:lang w:val="lt-LT" w:eastAsia="lt-LT"/>
        </w:rPr>
      </w:pPr>
      <w:r w:rsidRPr="00FA0999">
        <w:rPr>
          <w:rFonts w:ascii="Times New Roman" w:eastAsia="Times New Roman" w:hAnsi="Times New Roman" w:cs="Times New Roman"/>
          <w:b/>
          <w:sz w:val="24"/>
          <w:szCs w:val="24"/>
          <w:lang w:val="lt-LT" w:eastAsia="lt-LT"/>
        </w:rPr>
        <w:t>STRATEGIJOS ĮGYVENDINIMO</w:t>
      </w:r>
    </w:p>
    <w:p w14:paraId="634175BF" w14:textId="77777777" w:rsidR="00FA0999" w:rsidRPr="00FA0999" w:rsidRDefault="00FA0999" w:rsidP="00FA0999">
      <w:pPr>
        <w:spacing w:after="0" w:line="240" w:lineRule="auto"/>
        <w:jc w:val="center"/>
        <w:rPr>
          <w:rFonts w:ascii="Times New Roman" w:eastAsia="Times New Roman" w:hAnsi="Times New Roman" w:cs="Times New Roman"/>
          <w:b/>
          <w:sz w:val="24"/>
          <w:szCs w:val="24"/>
          <w:lang w:val="lt-LT" w:eastAsia="lt-LT"/>
        </w:rPr>
      </w:pPr>
    </w:p>
    <w:p w14:paraId="614EFE58" w14:textId="77777777" w:rsidR="00FA0999" w:rsidRPr="00FA0999" w:rsidRDefault="00FA0999" w:rsidP="00FA0999">
      <w:pPr>
        <w:spacing w:after="0" w:line="240" w:lineRule="auto"/>
        <w:jc w:val="center"/>
        <w:rPr>
          <w:rFonts w:ascii="Times New Roman" w:eastAsia="Times New Roman" w:hAnsi="Times New Roman" w:cs="Times New Roman"/>
          <w:b/>
          <w:sz w:val="24"/>
          <w:szCs w:val="24"/>
          <w:lang w:val="lt-LT" w:eastAsia="lt-LT"/>
        </w:rPr>
      </w:pPr>
      <w:r w:rsidRPr="00FA0999">
        <w:rPr>
          <w:rFonts w:ascii="Times New Roman" w:eastAsia="Times New Roman" w:hAnsi="Times New Roman" w:cs="Times New Roman"/>
          <w:b/>
          <w:sz w:val="24"/>
          <w:szCs w:val="24"/>
          <w:lang w:val="lt-LT" w:eastAsia="lt-LT"/>
        </w:rPr>
        <w:t>202</w:t>
      </w:r>
      <w:r w:rsidR="00B6704A">
        <w:rPr>
          <w:rFonts w:ascii="Times New Roman" w:eastAsia="Times New Roman" w:hAnsi="Times New Roman" w:cs="Times New Roman"/>
          <w:b/>
          <w:sz w:val="24"/>
          <w:szCs w:val="24"/>
          <w:lang w:val="lt-LT" w:eastAsia="lt-LT"/>
        </w:rPr>
        <w:t>4</w:t>
      </w:r>
      <w:r w:rsidRPr="00FA0999">
        <w:rPr>
          <w:rFonts w:ascii="Times New Roman" w:eastAsia="Times New Roman" w:hAnsi="Times New Roman" w:cs="Times New Roman"/>
          <w:b/>
          <w:sz w:val="24"/>
          <w:szCs w:val="24"/>
          <w:lang w:val="lt-LT" w:eastAsia="lt-LT"/>
        </w:rPr>
        <w:t xml:space="preserve"> m. </w:t>
      </w:r>
      <w:r w:rsidR="00B6704A">
        <w:rPr>
          <w:rFonts w:ascii="Times New Roman" w:eastAsia="Times New Roman" w:hAnsi="Times New Roman" w:cs="Times New Roman"/>
          <w:b/>
          <w:sz w:val="24"/>
          <w:szCs w:val="24"/>
          <w:lang w:val="lt-LT" w:eastAsia="lt-LT"/>
        </w:rPr>
        <w:t>birželio</w:t>
      </w:r>
      <w:r w:rsidR="00787BFF">
        <w:rPr>
          <w:rFonts w:ascii="Times New Roman" w:eastAsia="Times New Roman" w:hAnsi="Times New Roman" w:cs="Times New Roman"/>
          <w:b/>
          <w:sz w:val="24"/>
          <w:szCs w:val="24"/>
          <w:lang w:val="lt-LT" w:eastAsia="lt-LT"/>
        </w:rPr>
        <w:t xml:space="preserve"> 26 </w:t>
      </w:r>
      <w:r w:rsidRPr="00FA0999">
        <w:rPr>
          <w:rFonts w:ascii="Times New Roman" w:eastAsia="Times New Roman" w:hAnsi="Times New Roman" w:cs="Times New Roman"/>
          <w:b/>
          <w:sz w:val="24"/>
          <w:szCs w:val="24"/>
          <w:lang w:val="lt-LT" w:eastAsia="lt-LT"/>
        </w:rPr>
        <w:t>d.</w:t>
      </w:r>
    </w:p>
    <w:p w14:paraId="2E806DA1" w14:textId="77777777" w:rsidR="00FA0999" w:rsidRPr="00FA0999" w:rsidRDefault="00FA0999" w:rsidP="00FA0999">
      <w:pPr>
        <w:spacing w:after="0" w:line="240" w:lineRule="auto"/>
        <w:jc w:val="center"/>
        <w:rPr>
          <w:rFonts w:ascii="Times New Roman" w:eastAsia="Times New Roman" w:hAnsi="Times New Roman" w:cs="Times New Roman"/>
          <w:b/>
          <w:sz w:val="24"/>
          <w:szCs w:val="24"/>
          <w:lang w:val="lt-LT" w:eastAsia="lt-LT"/>
        </w:rPr>
      </w:pPr>
    </w:p>
    <w:p w14:paraId="0FFA9667" w14:textId="77777777" w:rsidR="00FA0999" w:rsidRPr="00FA0999" w:rsidRDefault="00283891" w:rsidP="00FA0999">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Telšiai</w:t>
      </w:r>
    </w:p>
    <w:p w14:paraId="1B68A9E3" w14:textId="77777777" w:rsidR="00FA0999" w:rsidRPr="00FA0999" w:rsidRDefault="00FA0999" w:rsidP="00FA0999">
      <w:pPr>
        <w:spacing w:after="0" w:line="240" w:lineRule="auto"/>
        <w:jc w:val="center"/>
        <w:rPr>
          <w:rFonts w:ascii="Times New Roman" w:eastAsia="Times New Roman" w:hAnsi="Times New Roman" w:cs="Times New Roman"/>
          <w:b/>
          <w:sz w:val="24"/>
          <w:szCs w:val="24"/>
          <w:lang w:val="lt-LT" w:eastAsia="lt-LT"/>
        </w:rPr>
      </w:pPr>
    </w:p>
    <w:p w14:paraId="194A3359" w14:textId="77777777" w:rsidR="00FA0999" w:rsidRPr="00FA0999" w:rsidRDefault="00FA0999" w:rsidP="00FA0999">
      <w:pPr>
        <w:spacing w:after="0" w:line="240" w:lineRule="auto"/>
        <w:jc w:val="center"/>
        <w:rPr>
          <w:rFonts w:ascii="Times New Roman" w:eastAsia="Times New Roman" w:hAnsi="Times New Roman" w:cs="Times New Roman"/>
          <w:b/>
          <w:sz w:val="24"/>
          <w:szCs w:val="24"/>
          <w:lang w:val="lt-LT" w:eastAsia="lt-LT"/>
        </w:rPr>
      </w:pPr>
    </w:p>
    <w:p w14:paraId="4EA0948E" w14:textId="77777777" w:rsidR="00FA0999" w:rsidRPr="001F2A2B" w:rsidRDefault="00C95D1B" w:rsidP="00FA0999">
      <w:pPr>
        <w:spacing w:after="0" w:line="240" w:lineRule="auto"/>
        <w:ind w:firstLine="1134"/>
        <w:jc w:val="both"/>
        <w:rPr>
          <w:rFonts w:ascii="Times New Roman" w:eastAsia="Times New Roman" w:hAnsi="Times New Roman" w:cs="Times New Roman"/>
          <w:bCs/>
          <w:sz w:val="24"/>
          <w:szCs w:val="24"/>
          <w:lang w:val="lt-LT" w:eastAsia="lt-LT"/>
        </w:rPr>
      </w:pPr>
      <w:r w:rsidRPr="001F2A2B">
        <w:rPr>
          <w:rFonts w:ascii="Times New Roman" w:eastAsia="Times New Roman" w:hAnsi="Times New Roman" w:cs="Times New Roman"/>
          <w:bCs/>
          <w:sz w:val="24"/>
          <w:szCs w:val="24"/>
          <w:lang w:val="lt-LT" w:eastAsia="lt-LT"/>
        </w:rPr>
        <w:t xml:space="preserve">Mažeikių rajono savivaldybė, atstovaujama savivaldybės merės Rūtos </w:t>
      </w:r>
      <w:proofErr w:type="spellStart"/>
      <w:r w:rsidRPr="001F2A2B">
        <w:rPr>
          <w:rFonts w:ascii="Times New Roman" w:eastAsia="Times New Roman" w:hAnsi="Times New Roman" w:cs="Times New Roman"/>
          <w:bCs/>
          <w:sz w:val="24"/>
          <w:szCs w:val="24"/>
          <w:lang w:val="lt-LT" w:eastAsia="lt-LT"/>
        </w:rPr>
        <w:t>Matulaitienės</w:t>
      </w:r>
      <w:proofErr w:type="spellEnd"/>
      <w:r w:rsidRPr="001F2A2B">
        <w:rPr>
          <w:rFonts w:ascii="Times New Roman" w:eastAsia="Times New Roman" w:hAnsi="Times New Roman" w:cs="Times New Roman"/>
          <w:bCs/>
          <w:sz w:val="24"/>
          <w:szCs w:val="24"/>
          <w:lang w:val="lt-LT" w:eastAsia="lt-LT"/>
        </w:rPr>
        <w:t>,</w:t>
      </w:r>
      <w:r w:rsidR="00FA0999" w:rsidRPr="001F2A2B">
        <w:rPr>
          <w:rFonts w:ascii="Times New Roman" w:eastAsia="Times New Roman" w:hAnsi="Times New Roman" w:cs="Times New Roman"/>
          <w:bCs/>
          <w:sz w:val="24"/>
          <w:szCs w:val="24"/>
          <w:lang w:val="lt-LT" w:eastAsia="lt-LT"/>
        </w:rPr>
        <w:t xml:space="preserve"> veikiančio</w:t>
      </w:r>
      <w:r w:rsidRPr="001F2A2B">
        <w:rPr>
          <w:rFonts w:ascii="Times New Roman" w:eastAsia="Times New Roman" w:hAnsi="Times New Roman" w:cs="Times New Roman"/>
          <w:bCs/>
          <w:sz w:val="24"/>
          <w:szCs w:val="24"/>
          <w:lang w:val="lt-LT" w:eastAsia="lt-LT"/>
        </w:rPr>
        <w:t>s</w:t>
      </w:r>
      <w:r w:rsidR="00FA0999" w:rsidRPr="001F2A2B">
        <w:rPr>
          <w:rFonts w:ascii="Times New Roman" w:eastAsia="Times New Roman" w:hAnsi="Times New Roman" w:cs="Times New Roman"/>
          <w:bCs/>
          <w:sz w:val="24"/>
          <w:szCs w:val="24"/>
          <w:lang w:val="lt-LT" w:eastAsia="lt-LT"/>
        </w:rPr>
        <w:t xml:space="preserve"> pagal </w:t>
      </w:r>
      <w:r w:rsidRPr="001F2A2B">
        <w:rPr>
          <w:rFonts w:ascii="Times New Roman" w:eastAsia="Times New Roman" w:hAnsi="Times New Roman" w:cs="Times New Roman"/>
          <w:bCs/>
          <w:sz w:val="24"/>
          <w:szCs w:val="24"/>
          <w:lang w:val="lt-LT" w:eastAsia="lt-LT"/>
        </w:rPr>
        <w:t>Mažeikių rajono</w:t>
      </w:r>
      <w:r w:rsidR="00FA0999" w:rsidRPr="001F2A2B">
        <w:rPr>
          <w:rFonts w:ascii="Times New Roman" w:eastAsia="Times New Roman" w:hAnsi="Times New Roman" w:cs="Times New Roman"/>
          <w:bCs/>
          <w:sz w:val="24"/>
          <w:szCs w:val="24"/>
          <w:lang w:val="lt-LT" w:eastAsia="lt-LT"/>
        </w:rPr>
        <w:t xml:space="preserve"> savivaldybės tarybos </w:t>
      </w:r>
      <w:bookmarkStart w:id="0" w:name="_Hlk164330095"/>
      <w:r w:rsidR="00FA0999" w:rsidRPr="001F2A2B">
        <w:rPr>
          <w:rFonts w:ascii="Times New Roman" w:eastAsia="Times New Roman" w:hAnsi="Times New Roman" w:cs="Times New Roman"/>
          <w:bCs/>
          <w:sz w:val="24"/>
          <w:szCs w:val="24"/>
          <w:lang w:val="lt-LT" w:eastAsia="lt-LT"/>
        </w:rPr>
        <w:t>2024 m.</w:t>
      </w:r>
      <w:r w:rsidR="00723C5A" w:rsidRPr="001F2A2B">
        <w:rPr>
          <w:rFonts w:ascii="Times New Roman" w:eastAsia="Times New Roman" w:hAnsi="Times New Roman" w:cs="Times New Roman"/>
          <w:bCs/>
          <w:sz w:val="24"/>
          <w:szCs w:val="24"/>
          <w:lang w:val="lt-LT" w:eastAsia="lt-LT"/>
        </w:rPr>
        <w:t xml:space="preserve"> gegužės 30 d.</w:t>
      </w:r>
      <w:bookmarkEnd w:id="0"/>
      <w:r w:rsidR="00723C5A" w:rsidRPr="001F2A2B">
        <w:rPr>
          <w:rFonts w:ascii="Times New Roman" w:eastAsia="Times New Roman" w:hAnsi="Times New Roman" w:cs="Times New Roman"/>
          <w:bCs/>
          <w:sz w:val="24"/>
          <w:szCs w:val="24"/>
          <w:lang w:val="lt-LT" w:eastAsia="lt-LT"/>
        </w:rPr>
        <w:t xml:space="preserve"> </w:t>
      </w:r>
      <w:r w:rsidR="00FA0999" w:rsidRPr="001F2A2B">
        <w:rPr>
          <w:rFonts w:ascii="Times New Roman" w:eastAsia="Times New Roman" w:hAnsi="Times New Roman" w:cs="Times New Roman"/>
          <w:bCs/>
          <w:sz w:val="24"/>
          <w:szCs w:val="24"/>
          <w:lang w:val="lt-LT" w:eastAsia="lt-LT"/>
        </w:rPr>
        <w:t>savivaldybės tarybos sprendimu Nr.</w:t>
      </w:r>
      <w:r w:rsidR="00723C5A" w:rsidRPr="001F2A2B">
        <w:rPr>
          <w:rFonts w:ascii="Times New Roman" w:eastAsia="Times New Roman" w:hAnsi="Times New Roman" w:cs="Times New Roman"/>
          <w:bCs/>
          <w:sz w:val="24"/>
          <w:szCs w:val="24"/>
          <w:lang w:val="lt-LT" w:eastAsia="lt-LT"/>
        </w:rPr>
        <w:t xml:space="preserve"> T1-177</w:t>
      </w:r>
      <w:r w:rsidR="00FA0999" w:rsidRPr="001F2A2B">
        <w:rPr>
          <w:rFonts w:ascii="Times New Roman" w:eastAsia="Times New Roman" w:hAnsi="Times New Roman" w:cs="Times New Roman"/>
          <w:bCs/>
          <w:sz w:val="24"/>
          <w:szCs w:val="24"/>
          <w:lang w:val="lt-LT" w:eastAsia="lt-LT"/>
        </w:rPr>
        <w:t xml:space="preserve"> „</w:t>
      </w:r>
      <w:bookmarkStart w:id="1" w:name="_Hlk169187321"/>
      <w:r w:rsidR="00723C5A" w:rsidRPr="001F2A2B">
        <w:rPr>
          <w:rFonts w:ascii="Times New Roman" w:eastAsia="Times New Roman" w:hAnsi="Times New Roman" w:cs="Times New Roman"/>
          <w:bCs/>
          <w:sz w:val="24"/>
          <w:szCs w:val="24"/>
          <w:lang w:val="lt-LT" w:eastAsia="lt-LT"/>
        </w:rPr>
        <w:t>Dėl 2024–2029 m. Telšių regiono funkcinės zonos strategijos patvirtinimo</w:t>
      </w:r>
      <w:bookmarkEnd w:id="1"/>
      <w:r w:rsidR="00FA0999" w:rsidRPr="001F2A2B">
        <w:rPr>
          <w:rFonts w:ascii="Times New Roman" w:eastAsia="Times New Roman" w:hAnsi="Times New Roman" w:cs="Times New Roman"/>
          <w:bCs/>
          <w:sz w:val="24"/>
          <w:szCs w:val="24"/>
          <w:lang w:val="lt-LT" w:eastAsia="lt-LT"/>
        </w:rPr>
        <w:t>“ suteiktą įgaliojimą,</w:t>
      </w:r>
    </w:p>
    <w:p w14:paraId="016FE069" w14:textId="77777777" w:rsidR="00FA0999" w:rsidRPr="001F2A2B" w:rsidRDefault="00C95D1B" w:rsidP="00FA0999">
      <w:pPr>
        <w:spacing w:after="0" w:line="240" w:lineRule="auto"/>
        <w:ind w:firstLine="1134"/>
        <w:jc w:val="both"/>
        <w:rPr>
          <w:rFonts w:ascii="Times New Roman" w:eastAsia="Times New Roman" w:hAnsi="Times New Roman" w:cs="Times New Roman"/>
          <w:bCs/>
          <w:sz w:val="24"/>
          <w:szCs w:val="24"/>
          <w:lang w:val="lt-LT" w:eastAsia="lt-LT"/>
        </w:rPr>
      </w:pPr>
      <w:r w:rsidRPr="001F2A2B">
        <w:rPr>
          <w:rFonts w:ascii="Times New Roman" w:eastAsia="Times New Roman" w:hAnsi="Times New Roman" w:cs="Times New Roman"/>
          <w:bCs/>
          <w:sz w:val="24"/>
          <w:szCs w:val="24"/>
          <w:lang w:val="lt-LT" w:eastAsia="lt-LT"/>
        </w:rPr>
        <w:t>Plungės rajono savivaldybė, atstovaujama savivaldybės mero Audriaus Klišonio,</w:t>
      </w:r>
      <w:r w:rsidR="00FA0999" w:rsidRPr="001F2A2B">
        <w:rPr>
          <w:rFonts w:ascii="Times New Roman" w:eastAsia="Times New Roman" w:hAnsi="Times New Roman" w:cs="Times New Roman"/>
          <w:bCs/>
          <w:sz w:val="24"/>
          <w:szCs w:val="24"/>
          <w:lang w:val="lt-LT" w:eastAsia="lt-LT"/>
        </w:rPr>
        <w:t xml:space="preserve"> veikiančio pagal </w:t>
      </w:r>
      <w:r w:rsidRPr="001F2A2B">
        <w:rPr>
          <w:rFonts w:ascii="Times New Roman" w:eastAsia="Times New Roman" w:hAnsi="Times New Roman" w:cs="Times New Roman"/>
          <w:bCs/>
          <w:sz w:val="24"/>
          <w:szCs w:val="24"/>
          <w:lang w:val="lt-LT" w:eastAsia="lt-LT"/>
        </w:rPr>
        <w:t>Plungės rajono</w:t>
      </w:r>
      <w:r w:rsidR="00FA0999" w:rsidRPr="001F2A2B">
        <w:rPr>
          <w:rFonts w:ascii="Times New Roman" w:eastAsia="Times New Roman" w:hAnsi="Times New Roman" w:cs="Times New Roman"/>
          <w:bCs/>
          <w:sz w:val="24"/>
          <w:szCs w:val="24"/>
          <w:lang w:val="lt-LT" w:eastAsia="lt-LT"/>
        </w:rPr>
        <w:t xml:space="preserve"> savivaldybės tarybos 2024 m. </w:t>
      </w:r>
      <w:r w:rsidR="00D616A5" w:rsidRPr="001F2A2B">
        <w:rPr>
          <w:rFonts w:ascii="Times New Roman" w:eastAsia="Times New Roman" w:hAnsi="Times New Roman" w:cs="Times New Roman"/>
          <w:bCs/>
          <w:sz w:val="24"/>
          <w:szCs w:val="24"/>
          <w:lang w:val="lt-LT" w:eastAsia="lt-LT"/>
        </w:rPr>
        <w:t xml:space="preserve">gegužės 30 d. </w:t>
      </w:r>
      <w:r w:rsidR="00FA0999" w:rsidRPr="001F2A2B">
        <w:rPr>
          <w:rFonts w:ascii="Times New Roman" w:eastAsia="Times New Roman" w:hAnsi="Times New Roman" w:cs="Times New Roman"/>
          <w:bCs/>
          <w:sz w:val="24"/>
          <w:szCs w:val="24"/>
          <w:lang w:val="lt-LT" w:eastAsia="lt-LT"/>
        </w:rPr>
        <w:t xml:space="preserve">savivaldybės tarybos sprendimu </w:t>
      </w:r>
      <w:bookmarkStart w:id="2" w:name="_Hlk164330133"/>
      <w:r w:rsidR="00FA0999" w:rsidRPr="001F2A2B">
        <w:rPr>
          <w:rFonts w:ascii="Times New Roman" w:eastAsia="Times New Roman" w:hAnsi="Times New Roman" w:cs="Times New Roman"/>
          <w:bCs/>
          <w:sz w:val="24"/>
          <w:szCs w:val="24"/>
          <w:lang w:val="lt-LT" w:eastAsia="lt-LT"/>
        </w:rPr>
        <w:t xml:space="preserve">Nr. </w:t>
      </w:r>
      <w:bookmarkStart w:id="3" w:name="_Hlk168903925"/>
      <w:r w:rsidR="00D616A5" w:rsidRPr="001F2A2B">
        <w:rPr>
          <w:rFonts w:ascii="Times New Roman" w:eastAsia="Times New Roman" w:hAnsi="Times New Roman" w:cs="Times New Roman"/>
          <w:bCs/>
          <w:sz w:val="24"/>
          <w:szCs w:val="24"/>
          <w:lang w:val="lt-LT" w:eastAsia="lt-LT"/>
        </w:rPr>
        <w:t>T1-144</w:t>
      </w:r>
      <w:r w:rsidR="00FA0999" w:rsidRPr="001F2A2B">
        <w:rPr>
          <w:rFonts w:ascii="Times New Roman" w:eastAsia="Times New Roman" w:hAnsi="Times New Roman" w:cs="Times New Roman"/>
          <w:bCs/>
          <w:sz w:val="24"/>
          <w:szCs w:val="24"/>
          <w:lang w:val="lt-LT" w:eastAsia="lt-LT"/>
        </w:rPr>
        <w:t xml:space="preserve"> </w:t>
      </w:r>
      <w:bookmarkEnd w:id="2"/>
      <w:bookmarkEnd w:id="3"/>
      <w:r w:rsidR="00FA0999" w:rsidRPr="001F2A2B">
        <w:rPr>
          <w:rFonts w:ascii="Times New Roman" w:eastAsia="Times New Roman" w:hAnsi="Times New Roman" w:cs="Times New Roman"/>
          <w:bCs/>
          <w:sz w:val="24"/>
          <w:szCs w:val="24"/>
          <w:lang w:val="lt-LT" w:eastAsia="lt-LT"/>
        </w:rPr>
        <w:t>„</w:t>
      </w:r>
      <w:bookmarkStart w:id="4" w:name="_Hlk168903962"/>
      <w:r w:rsidR="00D616A5" w:rsidRPr="001F2A2B">
        <w:rPr>
          <w:rFonts w:ascii="Times New Roman" w:eastAsia="Times New Roman" w:hAnsi="Times New Roman" w:cs="Times New Roman"/>
          <w:bCs/>
          <w:sz w:val="24"/>
          <w:szCs w:val="24"/>
          <w:lang w:val="lt-LT" w:eastAsia="lt-LT"/>
        </w:rPr>
        <w:t>Dėl 2024–2029 m. Telšių regiono funkcinės zonos strategijos patvirtinimo</w:t>
      </w:r>
      <w:bookmarkEnd w:id="4"/>
      <w:r w:rsidR="00FA0999" w:rsidRPr="001F2A2B">
        <w:rPr>
          <w:rFonts w:ascii="Times New Roman" w:eastAsia="Times New Roman" w:hAnsi="Times New Roman" w:cs="Times New Roman"/>
          <w:bCs/>
          <w:sz w:val="24"/>
          <w:szCs w:val="24"/>
          <w:lang w:val="lt-LT" w:eastAsia="lt-LT"/>
        </w:rPr>
        <w:t>“ suteiktą įgaliojimą,</w:t>
      </w:r>
    </w:p>
    <w:p w14:paraId="3C00C0EF" w14:textId="77777777" w:rsidR="00FA0999" w:rsidRPr="001F2A2B" w:rsidRDefault="00C95D1B" w:rsidP="00FA0999">
      <w:pPr>
        <w:spacing w:after="0" w:line="240" w:lineRule="auto"/>
        <w:ind w:firstLine="1134"/>
        <w:jc w:val="both"/>
        <w:rPr>
          <w:rFonts w:ascii="Times New Roman" w:eastAsia="Times New Roman" w:hAnsi="Times New Roman" w:cs="Times New Roman"/>
          <w:bCs/>
          <w:sz w:val="24"/>
          <w:szCs w:val="24"/>
          <w:lang w:val="lt-LT" w:eastAsia="lt-LT"/>
        </w:rPr>
      </w:pPr>
      <w:r w:rsidRPr="001F2A2B">
        <w:rPr>
          <w:rFonts w:ascii="Times New Roman" w:eastAsia="Times New Roman" w:hAnsi="Times New Roman" w:cs="Times New Roman"/>
          <w:bCs/>
          <w:sz w:val="24"/>
          <w:szCs w:val="24"/>
          <w:lang w:val="lt-LT" w:eastAsia="lt-LT"/>
        </w:rPr>
        <w:t xml:space="preserve">Rietavo savivaldybė, atstovaujama savivaldybės mero Antano </w:t>
      </w:r>
      <w:proofErr w:type="spellStart"/>
      <w:r w:rsidRPr="001F2A2B">
        <w:rPr>
          <w:rFonts w:ascii="Times New Roman" w:eastAsia="Times New Roman" w:hAnsi="Times New Roman" w:cs="Times New Roman"/>
          <w:bCs/>
          <w:sz w:val="24"/>
          <w:szCs w:val="24"/>
          <w:lang w:val="lt-LT" w:eastAsia="lt-LT"/>
        </w:rPr>
        <w:t>Černeckio</w:t>
      </w:r>
      <w:proofErr w:type="spellEnd"/>
      <w:r w:rsidR="00FA0999" w:rsidRPr="001F2A2B">
        <w:rPr>
          <w:rFonts w:ascii="Times New Roman" w:eastAsia="Times New Roman" w:hAnsi="Times New Roman" w:cs="Times New Roman"/>
          <w:bCs/>
          <w:sz w:val="24"/>
          <w:szCs w:val="24"/>
          <w:lang w:val="lt-LT" w:eastAsia="lt-LT"/>
        </w:rPr>
        <w:t xml:space="preserve">, veikiančio pagal </w:t>
      </w:r>
      <w:r w:rsidRPr="001F2A2B">
        <w:rPr>
          <w:rFonts w:ascii="Times New Roman" w:eastAsia="Times New Roman" w:hAnsi="Times New Roman" w:cs="Times New Roman"/>
          <w:bCs/>
          <w:sz w:val="24"/>
          <w:szCs w:val="24"/>
          <w:lang w:val="lt-LT" w:eastAsia="lt-LT"/>
        </w:rPr>
        <w:t>Rietavo</w:t>
      </w:r>
      <w:r w:rsidR="00FA0999" w:rsidRPr="001F2A2B">
        <w:rPr>
          <w:rFonts w:ascii="Times New Roman" w:eastAsia="Times New Roman" w:hAnsi="Times New Roman" w:cs="Times New Roman"/>
          <w:bCs/>
          <w:sz w:val="24"/>
          <w:szCs w:val="24"/>
          <w:lang w:val="lt-LT" w:eastAsia="lt-LT"/>
        </w:rPr>
        <w:t xml:space="preserve"> savivaldybės tarybos 2024 m. </w:t>
      </w:r>
      <w:r w:rsidR="00762B39" w:rsidRPr="001F2A2B">
        <w:rPr>
          <w:rFonts w:ascii="Times New Roman" w:eastAsia="Times New Roman" w:hAnsi="Times New Roman" w:cs="Times New Roman"/>
          <w:bCs/>
          <w:sz w:val="24"/>
          <w:szCs w:val="24"/>
          <w:lang w:val="lt-LT" w:eastAsia="lt-LT"/>
        </w:rPr>
        <w:t>gegužės 30 d.</w:t>
      </w:r>
      <w:r w:rsidR="00FA0999" w:rsidRPr="001F2A2B">
        <w:rPr>
          <w:rFonts w:ascii="Times New Roman" w:eastAsia="Times New Roman" w:hAnsi="Times New Roman" w:cs="Times New Roman"/>
          <w:bCs/>
          <w:sz w:val="24"/>
          <w:szCs w:val="24"/>
          <w:lang w:val="lt-LT" w:eastAsia="lt-LT"/>
        </w:rPr>
        <w:t xml:space="preserve"> savivaldybės tarybos sprendimu </w:t>
      </w:r>
      <w:r w:rsidR="00B228E6" w:rsidRPr="001F2A2B">
        <w:rPr>
          <w:rFonts w:ascii="Times New Roman" w:eastAsia="Times New Roman" w:hAnsi="Times New Roman" w:cs="Times New Roman"/>
          <w:bCs/>
          <w:sz w:val="24"/>
          <w:szCs w:val="24"/>
          <w:lang w:val="lt-LT" w:eastAsia="lt-LT"/>
        </w:rPr>
        <w:br/>
      </w:r>
      <w:r w:rsidR="00FA0999" w:rsidRPr="001F2A2B">
        <w:rPr>
          <w:rFonts w:ascii="Times New Roman" w:eastAsia="Times New Roman" w:hAnsi="Times New Roman" w:cs="Times New Roman"/>
          <w:bCs/>
          <w:sz w:val="24"/>
          <w:szCs w:val="24"/>
          <w:lang w:val="lt-LT" w:eastAsia="lt-LT"/>
        </w:rPr>
        <w:t xml:space="preserve">Nr. </w:t>
      </w:r>
      <w:r w:rsidR="00700576" w:rsidRPr="001F2A2B">
        <w:rPr>
          <w:rFonts w:ascii="Times New Roman" w:eastAsia="Times New Roman" w:hAnsi="Times New Roman" w:cs="Times New Roman"/>
          <w:bCs/>
          <w:sz w:val="24"/>
          <w:szCs w:val="24"/>
          <w:lang w:val="lt-LT" w:eastAsia="lt-LT"/>
        </w:rPr>
        <w:t>T1-86</w:t>
      </w:r>
      <w:r w:rsidR="00FA0999" w:rsidRPr="001F2A2B">
        <w:rPr>
          <w:rFonts w:ascii="Times New Roman" w:eastAsia="Times New Roman" w:hAnsi="Times New Roman" w:cs="Times New Roman"/>
          <w:bCs/>
          <w:sz w:val="24"/>
          <w:szCs w:val="24"/>
          <w:lang w:val="lt-LT" w:eastAsia="lt-LT"/>
        </w:rPr>
        <w:t xml:space="preserve"> „</w:t>
      </w:r>
      <w:bookmarkStart w:id="5" w:name="_Hlk168406883"/>
      <w:r w:rsidR="00700576" w:rsidRPr="001F2A2B">
        <w:rPr>
          <w:rFonts w:ascii="Times New Roman" w:eastAsia="Times New Roman" w:hAnsi="Times New Roman" w:cs="Times New Roman"/>
          <w:bCs/>
          <w:sz w:val="24"/>
          <w:szCs w:val="24"/>
          <w:lang w:val="lt-LT" w:eastAsia="lt-LT"/>
        </w:rPr>
        <w:t>Dėl 2024–2029 m. Telšių regiono funkcinės zonos strategijos patvirtinimo</w:t>
      </w:r>
      <w:bookmarkEnd w:id="5"/>
      <w:r w:rsidR="00FA0999" w:rsidRPr="001F2A2B">
        <w:rPr>
          <w:rFonts w:ascii="Times New Roman" w:eastAsia="Times New Roman" w:hAnsi="Times New Roman" w:cs="Times New Roman"/>
          <w:bCs/>
          <w:sz w:val="24"/>
          <w:szCs w:val="24"/>
          <w:lang w:val="lt-LT" w:eastAsia="lt-LT"/>
        </w:rPr>
        <w:t>“ suteiktą įgaliojimą,</w:t>
      </w:r>
    </w:p>
    <w:p w14:paraId="03F671C9" w14:textId="77777777" w:rsidR="00FA0999" w:rsidRPr="001F2A2B" w:rsidRDefault="00C95D1B" w:rsidP="00FA0999">
      <w:pPr>
        <w:spacing w:after="0" w:line="240" w:lineRule="auto"/>
        <w:ind w:firstLine="1134"/>
        <w:jc w:val="both"/>
        <w:rPr>
          <w:rFonts w:ascii="Times New Roman" w:eastAsia="Times New Roman" w:hAnsi="Times New Roman" w:cs="Times New Roman"/>
          <w:bCs/>
          <w:sz w:val="24"/>
          <w:szCs w:val="24"/>
          <w:lang w:val="lt-LT" w:eastAsia="lt-LT"/>
        </w:rPr>
      </w:pPr>
      <w:r w:rsidRPr="001F2A2B">
        <w:rPr>
          <w:rFonts w:ascii="Times New Roman" w:eastAsia="Times New Roman" w:hAnsi="Times New Roman" w:cs="Times New Roman"/>
          <w:bCs/>
          <w:sz w:val="24"/>
          <w:szCs w:val="24"/>
          <w:lang w:val="lt-LT" w:eastAsia="lt-LT"/>
        </w:rPr>
        <w:t>Telšių rajono savivaldybė, atstovaujama savivaldybės mero Tomo Katkaus,</w:t>
      </w:r>
      <w:r w:rsidR="00FA0999" w:rsidRPr="001F2A2B">
        <w:rPr>
          <w:rFonts w:ascii="Times New Roman" w:eastAsia="Times New Roman" w:hAnsi="Times New Roman" w:cs="Times New Roman"/>
          <w:bCs/>
          <w:sz w:val="24"/>
          <w:szCs w:val="24"/>
          <w:lang w:val="lt-LT" w:eastAsia="lt-LT"/>
        </w:rPr>
        <w:t xml:space="preserve"> veikiančio pagal </w:t>
      </w:r>
      <w:r w:rsidRPr="001F2A2B">
        <w:rPr>
          <w:rFonts w:ascii="Times New Roman" w:eastAsia="Times New Roman" w:hAnsi="Times New Roman" w:cs="Times New Roman"/>
          <w:bCs/>
          <w:sz w:val="24"/>
          <w:szCs w:val="24"/>
          <w:lang w:val="lt-LT" w:eastAsia="lt-LT"/>
        </w:rPr>
        <w:t>Telšių</w:t>
      </w:r>
      <w:r w:rsidR="00FA0999" w:rsidRPr="001F2A2B">
        <w:rPr>
          <w:rFonts w:ascii="Times New Roman" w:eastAsia="Times New Roman" w:hAnsi="Times New Roman" w:cs="Times New Roman"/>
          <w:bCs/>
          <w:sz w:val="24"/>
          <w:szCs w:val="24"/>
          <w:lang w:val="lt-LT" w:eastAsia="lt-LT"/>
        </w:rPr>
        <w:t xml:space="preserve"> rajono savivaldybės tarybos 2024 m. </w:t>
      </w:r>
      <w:r w:rsidR="003943AB" w:rsidRPr="001F2A2B">
        <w:rPr>
          <w:rFonts w:ascii="Times New Roman" w:eastAsia="Times New Roman" w:hAnsi="Times New Roman" w:cs="Times New Roman"/>
          <w:bCs/>
          <w:sz w:val="24"/>
          <w:szCs w:val="24"/>
          <w:lang w:val="lt-LT" w:eastAsia="lt-LT"/>
        </w:rPr>
        <w:t xml:space="preserve">gegužės 30 d. </w:t>
      </w:r>
      <w:r w:rsidR="00FA0999" w:rsidRPr="001F2A2B">
        <w:rPr>
          <w:rFonts w:ascii="Times New Roman" w:eastAsia="Times New Roman" w:hAnsi="Times New Roman" w:cs="Times New Roman"/>
          <w:bCs/>
          <w:sz w:val="24"/>
          <w:szCs w:val="24"/>
          <w:lang w:val="lt-LT" w:eastAsia="lt-LT"/>
        </w:rPr>
        <w:t xml:space="preserve">savivaldybės tarybos sprendimu Nr. </w:t>
      </w:r>
      <w:r w:rsidR="003943AB" w:rsidRPr="001F2A2B">
        <w:rPr>
          <w:rFonts w:ascii="Times New Roman" w:eastAsia="Times New Roman" w:hAnsi="Times New Roman" w:cs="Times New Roman"/>
          <w:bCs/>
          <w:sz w:val="24"/>
          <w:szCs w:val="24"/>
          <w:lang w:val="lt-LT" w:eastAsia="lt-LT"/>
        </w:rPr>
        <w:t>T1-215</w:t>
      </w:r>
      <w:r w:rsidR="00FA0999" w:rsidRPr="001F2A2B">
        <w:rPr>
          <w:rFonts w:ascii="Times New Roman" w:eastAsia="Times New Roman" w:hAnsi="Times New Roman" w:cs="Times New Roman"/>
          <w:bCs/>
          <w:sz w:val="24"/>
          <w:szCs w:val="24"/>
          <w:lang w:val="lt-LT" w:eastAsia="lt-LT"/>
        </w:rPr>
        <w:t xml:space="preserve"> „</w:t>
      </w:r>
      <w:bookmarkStart w:id="6" w:name="_Hlk168903871"/>
      <w:r w:rsidR="003943AB" w:rsidRPr="001F2A2B">
        <w:rPr>
          <w:rFonts w:ascii="Times New Roman" w:eastAsia="Times New Roman" w:hAnsi="Times New Roman" w:cs="Times New Roman"/>
          <w:bCs/>
          <w:sz w:val="24"/>
          <w:szCs w:val="24"/>
          <w:lang w:val="lt-LT" w:eastAsia="lt-LT"/>
        </w:rPr>
        <w:t>Dėl 2024–2029 m. Telšių regiono funkcinės zonos strategijos patvirtinimo</w:t>
      </w:r>
      <w:bookmarkEnd w:id="6"/>
      <w:r w:rsidR="00FA0999" w:rsidRPr="001F2A2B">
        <w:rPr>
          <w:rFonts w:ascii="Times New Roman" w:eastAsia="Times New Roman" w:hAnsi="Times New Roman" w:cs="Times New Roman"/>
          <w:bCs/>
          <w:sz w:val="24"/>
          <w:szCs w:val="24"/>
          <w:lang w:val="lt-LT" w:eastAsia="lt-LT"/>
        </w:rPr>
        <w:t>“ suteiktą įgaliojimą,</w:t>
      </w:r>
    </w:p>
    <w:p w14:paraId="2077EC9C" w14:textId="77777777" w:rsidR="00FA0999" w:rsidRPr="001F2A2B" w:rsidRDefault="00FA0999" w:rsidP="00FA0999">
      <w:pPr>
        <w:spacing w:after="0" w:line="240" w:lineRule="auto"/>
        <w:ind w:firstLine="1134"/>
        <w:jc w:val="both"/>
        <w:rPr>
          <w:rFonts w:ascii="Times New Roman" w:eastAsia="Times New Roman" w:hAnsi="Times New Roman" w:cs="Times New Roman"/>
          <w:bCs/>
          <w:sz w:val="24"/>
          <w:szCs w:val="24"/>
          <w:lang w:val="lt-LT" w:eastAsia="lt-LT"/>
        </w:rPr>
      </w:pPr>
      <w:r w:rsidRPr="001F2A2B">
        <w:rPr>
          <w:rFonts w:ascii="Times New Roman" w:eastAsia="Times New Roman" w:hAnsi="Times New Roman" w:cs="Times New Roman"/>
          <w:bCs/>
          <w:sz w:val="24"/>
          <w:szCs w:val="24"/>
          <w:lang w:val="lt-LT" w:eastAsia="lt-LT"/>
        </w:rPr>
        <w:t xml:space="preserve">toliau kartu vadinamos Partneriais, o kiekviena atskirai Partneriu, vadovaudamiesi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(toliau – Aprašas), 50 ir 53 punktais ir atsižvelgdamos į </w:t>
      </w:r>
      <w:r w:rsidR="00C95D1B" w:rsidRPr="001F2A2B">
        <w:rPr>
          <w:rFonts w:ascii="Times New Roman" w:eastAsia="Times New Roman" w:hAnsi="Times New Roman" w:cs="Times New Roman"/>
          <w:bCs/>
          <w:sz w:val="24"/>
          <w:szCs w:val="24"/>
          <w:lang w:val="lt-LT" w:eastAsia="lt-LT"/>
        </w:rPr>
        <w:t>Mažeikių rajono</w:t>
      </w:r>
      <w:r w:rsidRPr="001F2A2B">
        <w:rPr>
          <w:rFonts w:ascii="Times New Roman" w:eastAsia="Times New Roman" w:hAnsi="Times New Roman" w:cs="Times New Roman"/>
          <w:bCs/>
          <w:sz w:val="24"/>
          <w:szCs w:val="24"/>
          <w:lang w:val="lt-LT" w:eastAsia="lt-LT"/>
        </w:rPr>
        <w:t xml:space="preserve"> savivaldybės tarybos 2024 m. </w:t>
      </w:r>
      <w:r w:rsidR="00723C5A" w:rsidRPr="001F2A2B">
        <w:rPr>
          <w:rFonts w:ascii="Times New Roman" w:eastAsia="Times New Roman" w:hAnsi="Times New Roman" w:cs="Times New Roman"/>
          <w:bCs/>
          <w:sz w:val="24"/>
          <w:szCs w:val="24"/>
          <w:lang w:val="lt-LT" w:eastAsia="lt-LT"/>
        </w:rPr>
        <w:t xml:space="preserve">gegužės 30 d. </w:t>
      </w:r>
      <w:r w:rsidRPr="001F2A2B">
        <w:rPr>
          <w:rFonts w:ascii="Times New Roman" w:eastAsia="Times New Roman" w:hAnsi="Times New Roman" w:cs="Times New Roman"/>
          <w:bCs/>
          <w:sz w:val="24"/>
          <w:szCs w:val="24"/>
          <w:lang w:val="lt-LT" w:eastAsia="lt-LT"/>
        </w:rPr>
        <w:t xml:space="preserve">sprendimą </w:t>
      </w:r>
      <w:r w:rsidR="00B228E6" w:rsidRPr="001F2A2B">
        <w:rPr>
          <w:rFonts w:ascii="Times New Roman" w:eastAsia="Times New Roman" w:hAnsi="Times New Roman" w:cs="Times New Roman"/>
          <w:bCs/>
          <w:sz w:val="24"/>
          <w:szCs w:val="24"/>
          <w:lang w:val="lt-LT" w:eastAsia="lt-LT"/>
        </w:rPr>
        <w:br/>
      </w:r>
      <w:r w:rsidRPr="001F2A2B">
        <w:rPr>
          <w:rFonts w:ascii="Times New Roman" w:eastAsia="Times New Roman" w:hAnsi="Times New Roman" w:cs="Times New Roman"/>
          <w:bCs/>
          <w:sz w:val="24"/>
          <w:szCs w:val="24"/>
          <w:lang w:val="lt-LT" w:eastAsia="lt-LT"/>
        </w:rPr>
        <w:t xml:space="preserve">Nr. </w:t>
      </w:r>
      <w:r w:rsidR="00723C5A" w:rsidRPr="001F2A2B">
        <w:rPr>
          <w:rFonts w:ascii="Times New Roman" w:eastAsia="Times New Roman" w:hAnsi="Times New Roman" w:cs="Times New Roman"/>
          <w:bCs/>
          <w:sz w:val="24"/>
          <w:szCs w:val="24"/>
          <w:lang w:val="lt-LT" w:eastAsia="lt-LT"/>
        </w:rPr>
        <w:t>T1-177</w:t>
      </w:r>
      <w:r w:rsidRPr="001F2A2B">
        <w:rPr>
          <w:rFonts w:ascii="Times New Roman" w:eastAsia="Times New Roman" w:hAnsi="Times New Roman" w:cs="Times New Roman"/>
          <w:bCs/>
          <w:sz w:val="24"/>
          <w:szCs w:val="24"/>
          <w:lang w:val="lt-LT" w:eastAsia="lt-LT"/>
        </w:rPr>
        <w:t xml:space="preserve"> „</w:t>
      </w:r>
      <w:r w:rsidR="00723C5A" w:rsidRPr="001F2A2B">
        <w:rPr>
          <w:rFonts w:ascii="Times New Roman" w:eastAsia="Times New Roman" w:hAnsi="Times New Roman" w:cs="Times New Roman"/>
          <w:bCs/>
          <w:sz w:val="24"/>
          <w:szCs w:val="24"/>
          <w:lang w:val="lt-LT" w:eastAsia="lt-LT"/>
        </w:rPr>
        <w:t>Dėl 2024–2029 m. Telšių regiono funkcinės zonos strategijos patvirtinimo</w:t>
      </w:r>
      <w:r w:rsidRPr="001F2A2B">
        <w:rPr>
          <w:rFonts w:ascii="Times New Roman" w:eastAsia="Times New Roman" w:hAnsi="Times New Roman" w:cs="Times New Roman"/>
          <w:bCs/>
          <w:sz w:val="24"/>
          <w:szCs w:val="24"/>
          <w:lang w:val="lt-LT" w:eastAsia="lt-LT"/>
        </w:rPr>
        <w:t xml:space="preserve">“, </w:t>
      </w:r>
      <w:r w:rsidR="00C95D1B" w:rsidRPr="001F2A2B">
        <w:rPr>
          <w:rFonts w:ascii="Times New Roman" w:eastAsia="Times New Roman" w:hAnsi="Times New Roman" w:cs="Times New Roman"/>
          <w:bCs/>
          <w:sz w:val="24"/>
          <w:szCs w:val="24"/>
          <w:lang w:val="lt-LT" w:eastAsia="lt-LT"/>
        </w:rPr>
        <w:t>Plungės rajono</w:t>
      </w:r>
      <w:r w:rsidRPr="001F2A2B">
        <w:rPr>
          <w:rFonts w:ascii="Times New Roman" w:eastAsia="Times New Roman" w:hAnsi="Times New Roman" w:cs="Times New Roman"/>
          <w:bCs/>
          <w:sz w:val="24"/>
          <w:szCs w:val="24"/>
          <w:lang w:val="lt-LT" w:eastAsia="lt-LT"/>
        </w:rPr>
        <w:t xml:space="preserve"> savivaldybės tarybos 2024 m. </w:t>
      </w:r>
      <w:bookmarkStart w:id="7" w:name="_Hlk169187261"/>
      <w:r w:rsidR="00D616A5" w:rsidRPr="001F2A2B">
        <w:rPr>
          <w:rFonts w:ascii="Times New Roman" w:eastAsia="Times New Roman" w:hAnsi="Times New Roman" w:cs="Times New Roman"/>
          <w:bCs/>
          <w:sz w:val="24"/>
          <w:szCs w:val="24"/>
          <w:lang w:val="lt-LT" w:eastAsia="lt-LT"/>
        </w:rPr>
        <w:t xml:space="preserve">gegužės 30 d. </w:t>
      </w:r>
      <w:bookmarkEnd w:id="7"/>
      <w:r w:rsidRPr="001F2A2B">
        <w:rPr>
          <w:rFonts w:ascii="Times New Roman" w:eastAsia="Times New Roman" w:hAnsi="Times New Roman" w:cs="Times New Roman"/>
          <w:bCs/>
          <w:sz w:val="24"/>
          <w:szCs w:val="24"/>
          <w:lang w:val="lt-LT" w:eastAsia="lt-LT"/>
        </w:rPr>
        <w:t xml:space="preserve">sprendimą Nr. </w:t>
      </w:r>
      <w:r w:rsidR="00D616A5" w:rsidRPr="001F2A2B">
        <w:rPr>
          <w:rFonts w:ascii="Times New Roman" w:eastAsia="Times New Roman" w:hAnsi="Times New Roman" w:cs="Times New Roman"/>
          <w:bCs/>
          <w:sz w:val="24"/>
          <w:szCs w:val="24"/>
          <w:lang w:val="lt-LT" w:eastAsia="lt-LT"/>
        </w:rPr>
        <w:t xml:space="preserve">T1-144 </w:t>
      </w:r>
      <w:r w:rsidRPr="001F2A2B">
        <w:rPr>
          <w:rFonts w:ascii="Times New Roman" w:eastAsia="Times New Roman" w:hAnsi="Times New Roman" w:cs="Times New Roman"/>
          <w:bCs/>
          <w:sz w:val="24"/>
          <w:szCs w:val="24"/>
          <w:lang w:val="lt-LT" w:eastAsia="lt-LT"/>
        </w:rPr>
        <w:t>„</w:t>
      </w:r>
      <w:r w:rsidR="00D616A5" w:rsidRPr="001F2A2B">
        <w:rPr>
          <w:rFonts w:ascii="Times New Roman" w:eastAsia="Times New Roman" w:hAnsi="Times New Roman" w:cs="Times New Roman"/>
          <w:bCs/>
          <w:sz w:val="24"/>
          <w:szCs w:val="24"/>
          <w:lang w:val="lt-LT" w:eastAsia="lt-LT"/>
        </w:rPr>
        <w:t>Dėl 2024–2029 m. Telšių regiono funkcinės zonos strategijos patvirtinimo</w:t>
      </w:r>
      <w:r w:rsidRPr="001F2A2B">
        <w:rPr>
          <w:rFonts w:ascii="Times New Roman" w:eastAsia="Times New Roman" w:hAnsi="Times New Roman" w:cs="Times New Roman"/>
          <w:bCs/>
          <w:sz w:val="24"/>
          <w:szCs w:val="24"/>
          <w:lang w:val="lt-LT" w:eastAsia="lt-LT"/>
        </w:rPr>
        <w:t xml:space="preserve">“, </w:t>
      </w:r>
      <w:r w:rsidR="0005389E" w:rsidRPr="001F2A2B">
        <w:rPr>
          <w:rFonts w:ascii="Times New Roman" w:eastAsia="Times New Roman" w:hAnsi="Times New Roman" w:cs="Times New Roman"/>
          <w:bCs/>
          <w:sz w:val="24"/>
          <w:szCs w:val="24"/>
          <w:lang w:val="lt-LT" w:eastAsia="lt-LT"/>
        </w:rPr>
        <w:t>Rietavo</w:t>
      </w:r>
      <w:r w:rsidRPr="001F2A2B">
        <w:rPr>
          <w:rFonts w:ascii="Times New Roman" w:eastAsia="Times New Roman" w:hAnsi="Times New Roman" w:cs="Times New Roman"/>
          <w:bCs/>
          <w:sz w:val="24"/>
          <w:szCs w:val="24"/>
          <w:lang w:val="lt-LT" w:eastAsia="lt-LT"/>
        </w:rPr>
        <w:t xml:space="preserve"> savivaldybės tarybos 2024 m.</w:t>
      </w:r>
      <w:r w:rsidR="00700576" w:rsidRPr="001F2A2B">
        <w:rPr>
          <w:rFonts w:ascii="Times New Roman" w:eastAsia="Times New Roman" w:hAnsi="Times New Roman" w:cs="Times New Roman"/>
          <w:bCs/>
          <w:sz w:val="24"/>
          <w:szCs w:val="24"/>
          <w:lang w:val="lt-LT" w:eastAsia="lt-LT"/>
        </w:rPr>
        <w:t xml:space="preserve"> </w:t>
      </w:r>
      <w:bookmarkStart w:id="8" w:name="_Hlk168903898"/>
      <w:r w:rsidR="00700576" w:rsidRPr="001F2A2B">
        <w:rPr>
          <w:rFonts w:ascii="Times New Roman" w:eastAsia="Times New Roman" w:hAnsi="Times New Roman" w:cs="Times New Roman"/>
          <w:bCs/>
          <w:sz w:val="24"/>
          <w:szCs w:val="24"/>
          <w:lang w:val="lt-LT" w:eastAsia="lt-LT"/>
        </w:rPr>
        <w:t xml:space="preserve">gegužės 30 d. </w:t>
      </w:r>
      <w:bookmarkEnd w:id="8"/>
      <w:r w:rsidRPr="001F2A2B">
        <w:rPr>
          <w:rFonts w:ascii="Times New Roman" w:eastAsia="Times New Roman" w:hAnsi="Times New Roman" w:cs="Times New Roman"/>
          <w:bCs/>
          <w:sz w:val="24"/>
          <w:szCs w:val="24"/>
          <w:lang w:val="lt-LT" w:eastAsia="lt-LT"/>
        </w:rPr>
        <w:t xml:space="preserve">sprendimą Nr. </w:t>
      </w:r>
      <w:r w:rsidR="00700576" w:rsidRPr="001F2A2B">
        <w:rPr>
          <w:rFonts w:ascii="Times New Roman" w:eastAsia="Times New Roman" w:hAnsi="Times New Roman" w:cs="Times New Roman"/>
          <w:bCs/>
          <w:sz w:val="24"/>
          <w:szCs w:val="24"/>
          <w:lang w:val="lt-LT" w:eastAsia="lt-LT"/>
        </w:rPr>
        <w:t xml:space="preserve">T1-86 </w:t>
      </w:r>
      <w:r w:rsidRPr="001F2A2B">
        <w:rPr>
          <w:rFonts w:ascii="Times New Roman" w:eastAsia="Times New Roman" w:hAnsi="Times New Roman" w:cs="Times New Roman"/>
          <w:bCs/>
          <w:sz w:val="24"/>
          <w:szCs w:val="24"/>
          <w:lang w:val="lt-LT" w:eastAsia="lt-LT"/>
        </w:rPr>
        <w:t>„</w:t>
      </w:r>
      <w:r w:rsidR="00700576" w:rsidRPr="001F2A2B">
        <w:rPr>
          <w:rFonts w:ascii="Times New Roman" w:eastAsia="Times New Roman" w:hAnsi="Times New Roman" w:cs="Times New Roman"/>
          <w:bCs/>
          <w:sz w:val="24"/>
          <w:szCs w:val="24"/>
          <w:lang w:val="lt-LT" w:eastAsia="lt-LT"/>
        </w:rPr>
        <w:t>Dėl 2024–2029 m. Telšių regiono funkcinės zonos strategijos patvirtinimo</w:t>
      </w:r>
      <w:r w:rsidRPr="001F2A2B">
        <w:rPr>
          <w:rFonts w:ascii="Times New Roman" w:eastAsia="Times New Roman" w:hAnsi="Times New Roman" w:cs="Times New Roman"/>
          <w:bCs/>
          <w:sz w:val="24"/>
          <w:szCs w:val="24"/>
          <w:lang w:val="lt-LT" w:eastAsia="lt-LT"/>
        </w:rPr>
        <w:t>“</w:t>
      </w:r>
      <w:r w:rsidR="0005389E" w:rsidRPr="001F2A2B">
        <w:rPr>
          <w:rFonts w:ascii="Times New Roman" w:eastAsia="Times New Roman" w:hAnsi="Times New Roman" w:cs="Times New Roman"/>
          <w:bCs/>
          <w:sz w:val="24"/>
          <w:szCs w:val="24"/>
          <w:lang w:val="lt-LT" w:eastAsia="lt-LT"/>
        </w:rPr>
        <w:t xml:space="preserve"> ir</w:t>
      </w:r>
      <w:r w:rsidRPr="001F2A2B">
        <w:rPr>
          <w:rFonts w:ascii="Times New Roman" w:eastAsia="Times New Roman" w:hAnsi="Times New Roman" w:cs="Times New Roman"/>
          <w:bCs/>
          <w:sz w:val="24"/>
          <w:szCs w:val="24"/>
          <w:lang w:val="lt-LT" w:eastAsia="lt-LT"/>
        </w:rPr>
        <w:t xml:space="preserve"> </w:t>
      </w:r>
      <w:r w:rsidR="0005389E" w:rsidRPr="001F2A2B">
        <w:rPr>
          <w:rFonts w:ascii="Times New Roman" w:eastAsia="Times New Roman" w:hAnsi="Times New Roman" w:cs="Times New Roman"/>
          <w:bCs/>
          <w:sz w:val="24"/>
          <w:szCs w:val="24"/>
          <w:lang w:val="lt-LT" w:eastAsia="lt-LT"/>
        </w:rPr>
        <w:t>Telšių</w:t>
      </w:r>
      <w:r w:rsidRPr="001F2A2B">
        <w:rPr>
          <w:rFonts w:ascii="Times New Roman" w:eastAsia="Times New Roman" w:hAnsi="Times New Roman" w:cs="Times New Roman"/>
          <w:bCs/>
          <w:sz w:val="24"/>
          <w:szCs w:val="24"/>
          <w:lang w:val="lt-LT" w:eastAsia="lt-LT"/>
        </w:rPr>
        <w:t xml:space="preserve"> rajono savivaldybės tarybos 2024 m. </w:t>
      </w:r>
      <w:r w:rsidR="003943AB" w:rsidRPr="001F2A2B">
        <w:rPr>
          <w:rFonts w:ascii="Times New Roman" w:eastAsia="Times New Roman" w:hAnsi="Times New Roman" w:cs="Times New Roman"/>
          <w:bCs/>
          <w:sz w:val="24"/>
          <w:szCs w:val="24"/>
          <w:lang w:val="lt-LT" w:eastAsia="lt-LT"/>
        </w:rPr>
        <w:t xml:space="preserve">gegužės 30 d. </w:t>
      </w:r>
      <w:r w:rsidRPr="001F2A2B">
        <w:rPr>
          <w:rFonts w:ascii="Times New Roman" w:eastAsia="Times New Roman" w:hAnsi="Times New Roman" w:cs="Times New Roman"/>
          <w:bCs/>
          <w:sz w:val="24"/>
          <w:szCs w:val="24"/>
          <w:lang w:val="lt-LT" w:eastAsia="lt-LT"/>
        </w:rPr>
        <w:t xml:space="preserve">sprendimą Nr. </w:t>
      </w:r>
      <w:r w:rsidR="003943AB" w:rsidRPr="001F2A2B">
        <w:rPr>
          <w:rFonts w:ascii="Times New Roman" w:eastAsia="Times New Roman" w:hAnsi="Times New Roman" w:cs="Times New Roman"/>
          <w:bCs/>
          <w:sz w:val="24"/>
          <w:szCs w:val="24"/>
          <w:lang w:val="lt-LT" w:eastAsia="lt-LT"/>
        </w:rPr>
        <w:t>T1-215</w:t>
      </w:r>
      <w:r w:rsidRPr="001F2A2B">
        <w:rPr>
          <w:rFonts w:ascii="Times New Roman" w:eastAsia="Times New Roman" w:hAnsi="Times New Roman" w:cs="Times New Roman"/>
          <w:bCs/>
          <w:sz w:val="24"/>
          <w:szCs w:val="24"/>
          <w:lang w:val="lt-LT" w:eastAsia="lt-LT"/>
        </w:rPr>
        <w:t xml:space="preserve"> „</w:t>
      </w:r>
      <w:r w:rsidR="003943AB" w:rsidRPr="001F2A2B">
        <w:rPr>
          <w:rFonts w:ascii="Times New Roman" w:eastAsia="Times New Roman" w:hAnsi="Times New Roman" w:cs="Times New Roman"/>
          <w:bCs/>
          <w:sz w:val="24"/>
          <w:szCs w:val="24"/>
          <w:lang w:val="lt-LT" w:eastAsia="lt-LT"/>
        </w:rPr>
        <w:t>Dėl 2024–2029 m. Telšių regiono funkcinės zonos strategijos patvirtinimo</w:t>
      </w:r>
      <w:r w:rsidRPr="001F2A2B">
        <w:rPr>
          <w:rFonts w:ascii="Times New Roman" w:eastAsia="Times New Roman" w:hAnsi="Times New Roman" w:cs="Times New Roman"/>
          <w:bCs/>
          <w:sz w:val="24"/>
          <w:szCs w:val="24"/>
          <w:lang w:val="lt-LT" w:eastAsia="lt-LT"/>
        </w:rPr>
        <w:t>“, sudaro šį susitarimą dėl 202</w:t>
      </w:r>
      <w:r w:rsidR="007A0752" w:rsidRPr="001F2A2B">
        <w:rPr>
          <w:rFonts w:ascii="Times New Roman" w:eastAsia="Times New Roman" w:hAnsi="Times New Roman" w:cs="Times New Roman"/>
          <w:bCs/>
          <w:sz w:val="24"/>
          <w:szCs w:val="24"/>
          <w:lang w:val="lt-LT" w:eastAsia="lt-LT"/>
        </w:rPr>
        <w:t>4</w:t>
      </w:r>
      <w:r w:rsidRPr="001F2A2B">
        <w:rPr>
          <w:rFonts w:ascii="Times New Roman" w:eastAsia="Times New Roman" w:hAnsi="Times New Roman" w:cs="Times New Roman"/>
          <w:bCs/>
          <w:sz w:val="24"/>
          <w:szCs w:val="24"/>
          <w:lang w:val="lt-LT" w:eastAsia="lt-LT"/>
        </w:rPr>
        <w:t xml:space="preserve">–2029 m. </w:t>
      </w:r>
      <w:r w:rsidR="0005389E" w:rsidRPr="001F2A2B">
        <w:rPr>
          <w:rFonts w:ascii="Times New Roman" w:eastAsia="Times New Roman" w:hAnsi="Times New Roman" w:cs="Times New Roman"/>
          <w:bCs/>
          <w:sz w:val="24"/>
          <w:szCs w:val="24"/>
          <w:lang w:val="lt-LT" w:eastAsia="lt-LT"/>
        </w:rPr>
        <w:t>Telšių</w:t>
      </w:r>
      <w:r w:rsidRPr="001F2A2B">
        <w:rPr>
          <w:rFonts w:ascii="Times New Roman" w:eastAsia="Times New Roman" w:hAnsi="Times New Roman" w:cs="Times New Roman"/>
          <w:bCs/>
          <w:sz w:val="24"/>
          <w:szCs w:val="24"/>
          <w:lang w:val="lt-LT" w:eastAsia="lt-LT"/>
        </w:rPr>
        <w:t xml:space="preserve"> regiono funkcinės zonos strategijos (toliau – Strategija), kuri yra neatskiriamas šio susitarimo priedas, įgyvendinimo (toliau – Susitarimas) ir įsipareigoja: </w:t>
      </w:r>
    </w:p>
    <w:p w14:paraId="33BCE62D" w14:textId="77777777" w:rsidR="00FA0999" w:rsidRPr="001F2A2B" w:rsidRDefault="00FA0999" w:rsidP="00FA0999">
      <w:pPr>
        <w:spacing w:after="0" w:line="240" w:lineRule="auto"/>
        <w:ind w:firstLine="1134"/>
        <w:jc w:val="both"/>
        <w:rPr>
          <w:rFonts w:ascii="Times New Roman" w:eastAsia="Times New Roman" w:hAnsi="Times New Roman" w:cs="Times New Roman"/>
          <w:bCs/>
          <w:sz w:val="24"/>
          <w:szCs w:val="24"/>
          <w:lang w:val="lt-LT" w:eastAsia="lt-LT"/>
        </w:rPr>
      </w:pPr>
      <w:r w:rsidRPr="001F2A2B">
        <w:rPr>
          <w:rFonts w:ascii="Times New Roman" w:eastAsia="Times New Roman" w:hAnsi="Times New Roman" w:cs="Times New Roman"/>
          <w:bCs/>
          <w:sz w:val="24"/>
          <w:szCs w:val="24"/>
          <w:lang w:val="lt-LT" w:eastAsia="lt-LT"/>
        </w:rPr>
        <w:t>1.</w:t>
      </w:r>
      <w:r w:rsidRPr="001F2A2B">
        <w:rPr>
          <w:rFonts w:ascii="Times New Roman" w:eastAsia="Times New Roman" w:hAnsi="Times New Roman" w:cs="Times New Roman"/>
          <w:bCs/>
          <w:sz w:val="24"/>
          <w:szCs w:val="24"/>
          <w:lang w:val="lt-LT" w:eastAsia="lt-LT"/>
        </w:rPr>
        <w:tab/>
      </w:r>
      <w:r w:rsidR="0005389E" w:rsidRPr="001F2A2B">
        <w:rPr>
          <w:rFonts w:ascii="Times New Roman" w:eastAsia="Times New Roman" w:hAnsi="Times New Roman" w:cs="Times New Roman"/>
          <w:bCs/>
          <w:sz w:val="24"/>
          <w:szCs w:val="24"/>
          <w:lang w:val="lt-LT" w:eastAsia="lt-LT"/>
        </w:rPr>
        <w:t>Bendrai naudodami savo turtą, kooperuodami darbą, žinias ir organizacinius išteklius, veikti bendrai siekdami įgyvendinti Strategijoje nustatytus uždavinius.</w:t>
      </w:r>
    </w:p>
    <w:p w14:paraId="70D72D74" w14:textId="77777777" w:rsidR="00A77FEC" w:rsidRDefault="00FA0999" w:rsidP="00FA0999">
      <w:pPr>
        <w:spacing w:after="0" w:line="240" w:lineRule="auto"/>
        <w:ind w:firstLine="1134"/>
        <w:jc w:val="both"/>
        <w:rPr>
          <w:rFonts w:ascii="Times New Roman" w:eastAsia="Times New Roman" w:hAnsi="Times New Roman" w:cs="Times New Roman"/>
          <w:bCs/>
          <w:sz w:val="24"/>
          <w:szCs w:val="24"/>
          <w:lang w:val="lt-LT" w:eastAsia="lt-LT"/>
        </w:rPr>
      </w:pPr>
      <w:r w:rsidRPr="001F2A2B">
        <w:rPr>
          <w:rFonts w:ascii="Times New Roman" w:eastAsia="Times New Roman" w:hAnsi="Times New Roman" w:cs="Times New Roman"/>
          <w:bCs/>
          <w:sz w:val="24"/>
          <w:szCs w:val="24"/>
          <w:lang w:val="lt-LT" w:eastAsia="lt-LT"/>
        </w:rPr>
        <w:t>2.</w:t>
      </w:r>
      <w:r w:rsidRPr="001F2A2B">
        <w:rPr>
          <w:rFonts w:ascii="Times New Roman" w:eastAsia="Times New Roman" w:hAnsi="Times New Roman" w:cs="Times New Roman"/>
          <w:bCs/>
          <w:sz w:val="24"/>
          <w:szCs w:val="24"/>
          <w:lang w:val="lt-LT" w:eastAsia="lt-LT"/>
        </w:rPr>
        <w:tab/>
      </w:r>
      <w:r w:rsidR="0005389E" w:rsidRPr="001F2A2B">
        <w:rPr>
          <w:rFonts w:ascii="Times New Roman" w:eastAsia="Times New Roman" w:hAnsi="Times New Roman" w:cs="Times New Roman"/>
          <w:bCs/>
          <w:sz w:val="24"/>
          <w:szCs w:val="24"/>
          <w:lang w:val="lt-LT" w:eastAsia="lt-LT"/>
        </w:rPr>
        <w:t xml:space="preserve">Užtikrinti bendrąjį finansavimą, reikalingą prisidėjimui </w:t>
      </w:r>
      <w:r w:rsidR="00C85B42" w:rsidRPr="001F2A2B">
        <w:rPr>
          <w:rFonts w:ascii="Times New Roman" w:eastAsia="Times New Roman" w:hAnsi="Times New Roman" w:cs="Times New Roman"/>
          <w:bCs/>
          <w:sz w:val="24"/>
          <w:szCs w:val="24"/>
          <w:lang w:val="lt-LT" w:eastAsia="lt-LT"/>
        </w:rPr>
        <w:t>prie</w:t>
      </w:r>
      <w:r w:rsidR="002F7923" w:rsidRPr="001F2A2B">
        <w:rPr>
          <w:rFonts w:ascii="Times New Roman" w:eastAsia="Times New Roman" w:hAnsi="Times New Roman" w:cs="Times New Roman"/>
          <w:bCs/>
          <w:sz w:val="24"/>
          <w:szCs w:val="24"/>
          <w:lang w:val="lt-LT" w:eastAsia="lt-LT"/>
        </w:rPr>
        <w:t xml:space="preserve"> </w:t>
      </w:r>
      <w:r w:rsidR="0005389E" w:rsidRPr="001F2A2B">
        <w:rPr>
          <w:rFonts w:ascii="Times New Roman" w:eastAsia="Times New Roman" w:hAnsi="Times New Roman" w:cs="Times New Roman"/>
          <w:bCs/>
          <w:sz w:val="24"/>
          <w:szCs w:val="24"/>
          <w:lang w:val="lt-LT" w:eastAsia="lt-LT"/>
        </w:rPr>
        <w:t>Strategijos veiksmų</w:t>
      </w:r>
      <w:r w:rsidR="00560B63" w:rsidRPr="001F2A2B">
        <w:rPr>
          <w:rFonts w:ascii="Times New Roman" w:eastAsia="Times New Roman" w:hAnsi="Times New Roman" w:cs="Times New Roman"/>
          <w:bCs/>
          <w:sz w:val="24"/>
          <w:szCs w:val="24"/>
          <w:lang w:val="lt-LT" w:eastAsia="lt-LT"/>
        </w:rPr>
        <w:t>,</w:t>
      </w:r>
      <w:r w:rsidR="0005389E" w:rsidRPr="001F2A2B">
        <w:rPr>
          <w:rFonts w:ascii="Times New Roman" w:eastAsia="Times New Roman" w:hAnsi="Times New Roman" w:cs="Times New Roman"/>
          <w:bCs/>
          <w:sz w:val="24"/>
          <w:szCs w:val="24"/>
          <w:lang w:val="lt-LT" w:eastAsia="lt-LT"/>
        </w:rPr>
        <w:t xml:space="preserve"> </w:t>
      </w:r>
      <w:r w:rsidR="00560B63" w:rsidRPr="001F2A2B">
        <w:rPr>
          <w:rFonts w:ascii="Times New Roman" w:eastAsia="Times New Roman" w:hAnsi="Times New Roman" w:cs="Times New Roman"/>
          <w:bCs/>
          <w:sz w:val="24"/>
          <w:szCs w:val="24"/>
          <w:lang w:val="lt-LT" w:eastAsia="lt-LT"/>
        </w:rPr>
        <w:t>nustatytų kiekvienam iš Partnerių, įgyvendinimo ir finansuoti tinkamas ir netinkamas šių Strategijos veiksmų išlaidas, kurių nepadengia finansavimo šaltinis.</w:t>
      </w:r>
      <w:r w:rsidR="00560B63" w:rsidRPr="001F2A2B">
        <w:rPr>
          <w:rFonts w:ascii="Times New Roman" w:eastAsia="Times New Roman" w:hAnsi="Times New Roman" w:cs="Times New Roman"/>
          <w:bCs/>
          <w:sz w:val="24"/>
          <w:szCs w:val="24"/>
          <w:lang w:val="lt-LT" w:eastAsia="lt-LT"/>
        </w:rPr>
        <w:cr/>
      </w:r>
      <w:r w:rsidR="00560B63" w:rsidRPr="001F2A2B">
        <w:rPr>
          <w:rFonts w:ascii="Times New Roman" w:eastAsia="Times New Roman" w:hAnsi="Times New Roman" w:cs="Times New Roman"/>
          <w:bCs/>
          <w:sz w:val="24"/>
          <w:szCs w:val="24"/>
          <w:lang w:val="lt-LT" w:eastAsia="lt-LT"/>
        </w:rPr>
        <w:tab/>
        <w:t xml:space="preserve">       </w:t>
      </w:r>
      <w:r w:rsidR="0005389E" w:rsidRPr="001F2A2B">
        <w:rPr>
          <w:rFonts w:ascii="Times New Roman" w:eastAsia="Times New Roman" w:hAnsi="Times New Roman" w:cs="Times New Roman"/>
          <w:bCs/>
          <w:sz w:val="24"/>
          <w:szCs w:val="24"/>
          <w:lang w:val="lt-LT" w:eastAsia="lt-LT"/>
        </w:rPr>
        <w:t>3</w:t>
      </w:r>
      <w:r w:rsidRPr="001F2A2B">
        <w:rPr>
          <w:rFonts w:ascii="Times New Roman" w:eastAsia="Times New Roman" w:hAnsi="Times New Roman" w:cs="Times New Roman"/>
          <w:bCs/>
          <w:sz w:val="24"/>
          <w:szCs w:val="24"/>
          <w:lang w:val="lt-LT" w:eastAsia="lt-LT"/>
        </w:rPr>
        <w:t>.</w:t>
      </w:r>
      <w:r w:rsidRPr="001F2A2B">
        <w:rPr>
          <w:rFonts w:ascii="Times New Roman" w:eastAsia="Times New Roman" w:hAnsi="Times New Roman" w:cs="Times New Roman"/>
          <w:bCs/>
          <w:sz w:val="24"/>
          <w:szCs w:val="24"/>
          <w:lang w:val="lt-LT" w:eastAsia="lt-LT"/>
        </w:rPr>
        <w:tab/>
      </w:r>
      <w:r w:rsidR="0005389E" w:rsidRPr="001F2A2B">
        <w:rPr>
          <w:rFonts w:ascii="Times New Roman" w:eastAsia="Times New Roman" w:hAnsi="Times New Roman" w:cs="Times New Roman"/>
          <w:bCs/>
          <w:sz w:val="24"/>
          <w:szCs w:val="24"/>
          <w:lang w:val="lt-LT" w:eastAsia="lt-LT"/>
        </w:rPr>
        <w:t xml:space="preserve">Paskirti Plungės rajono savivaldybės administraciją </w:t>
      </w:r>
      <w:r w:rsidR="00A77FEC" w:rsidRPr="001F2A2B">
        <w:rPr>
          <w:rFonts w:ascii="Times New Roman" w:eastAsia="Times New Roman" w:hAnsi="Times New Roman" w:cs="Times New Roman"/>
          <w:bCs/>
          <w:sz w:val="24"/>
          <w:szCs w:val="24"/>
          <w:lang w:val="lt-LT" w:eastAsia="lt-LT"/>
        </w:rPr>
        <w:t>atsakinga už Strategi</w:t>
      </w:r>
      <w:r w:rsidR="00A77FEC" w:rsidRPr="00A77FEC">
        <w:rPr>
          <w:rFonts w:ascii="Times New Roman" w:eastAsia="Times New Roman" w:hAnsi="Times New Roman" w:cs="Times New Roman"/>
          <w:bCs/>
          <w:sz w:val="24"/>
          <w:szCs w:val="24"/>
          <w:lang w:val="lt-LT" w:eastAsia="lt-LT"/>
        </w:rPr>
        <w:t xml:space="preserve">jos </w:t>
      </w:r>
      <w:r w:rsidR="00A77FEC" w:rsidRPr="00A77FEC">
        <w:rPr>
          <w:rFonts w:ascii="Times New Roman" w:eastAsia="Times New Roman" w:hAnsi="Times New Roman" w:cs="Times New Roman"/>
          <w:bCs/>
          <w:sz w:val="24"/>
          <w:szCs w:val="24"/>
          <w:lang w:val="lt-LT" w:eastAsia="lt-LT"/>
        </w:rPr>
        <w:lastRenderedPageBreak/>
        <w:t>stebėseną bei Strategijos ir Susitarimo pakeitimų koordinavimą (toliau – Strategijos įgyvendinimo koordinatorius).</w:t>
      </w:r>
    </w:p>
    <w:p w14:paraId="09F7A492" w14:textId="77777777" w:rsidR="00A77FEC" w:rsidRDefault="00A77FEC" w:rsidP="00FA0999">
      <w:pPr>
        <w:spacing w:after="0" w:line="240" w:lineRule="auto"/>
        <w:ind w:firstLine="1134"/>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4.</w:t>
      </w:r>
      <w:r w:rsidRPr="00A77FEC">
        <w:t xml:space="preserve"> </w:t>
      </w:r>
      <w:r w:rsidRPr="00A77FEC">
        <w:rPr>
          <w:rFonts w:ascii="Times New Roman" w:eastAsia="Times New Roman" w:hAnsi="Times New Roman" w:cs="Times New Roman"/>
          <w:bCs/>
          <w:sz w:val="24"/>
          <w:szCs w:val="24"/>
          <w:lang w:val="lt-LT" w:eastAsia="lt-LT"/>
        </w:rPr>
        <w:t xml:space="preserve">Pavesti </w:t>
      </w:r>
      <w:r>
        <w:rPr>
          <w:rFonts w:ascii="Times New Roman" w:eastAsia="Times New Roman" w:hAnsi="Times New Roman" w:cs="Times New Roman"/>
          <w:bCs/>
          <w:sz w:val="24"/>
          <w:szCs w:val="24"/>
          <w:lang w:val="lt-LT" w:eastAsia="lt-LT"/>
        </w:rPr>
        <w:t>S</w:t>
      </w:r>
      <w:r w:rsidRPr="00A77FEC">
        <w:rPr>
          <w:rFonts w:ascii="Times New Roman" w:eastAsia="Times New Roman" w:hAnsi="Times New Roman" w:cs="Times New Roman"/>
          <w:bCs/>
          <w:sz w:val="24"/>
          <w:szCs w:val="24"/>
          <w:lang w:val="lt-LT" w:eastAsia="lt-LT"/>
        </w:rPr>
        <w:t xml:space="preserve">trategijos įgyvendinimo koordinatoriui </w:t>
      </w:r>
      <w:r w:rsidR="00362337">
        <w:rPr>
          <w:rFonts w:ascii="Times New Roman" w:eastAsia="Times New Roman" w:hAnsi="Times New Roman" w:cs="Times New Roman"/>
          <w:bCs/>
          <w:sz w:val="24"/>
          <w:szCs w:val="24"/>
          <w:lang w:val="lt-LT" w:eastAsia="lt-LT"/>
        </w:rPr>
        <w:t>organizuoti</w:t>
      </w:r>
      <w:r w:rsidRPr="00A77FEC">
        <w:rPr>
          <w:rFonts w:ascii="Times New Roman" w:eastAsia="Times New Roman" w:hAnsi="Times New Roman" w:cs="Times New Roman"/>
          <w:bCs/>
          <w:sz w:val="24"/>
          <w:szCs w:val="24"/>
          <w:lang w:val="lt-LT" w:eastAsia="lt-LT"/>
        </w:rPr>
        <w:t xml:space="preserve"> </w:t>
      </w:r>
      <w:r>
        <w:rPr>
          <w:rFonts w:ascii="Times New Roman" w:eastAsia="Times New Roman" w:hAnsi="Times New Roman" w:cs="Times New Roman"/>
          <w:bCs/>
          <w:sz w:val="24"/>
          <w:szCs w:val="24"/>
          <w:lang w:val="lt-LT" w:eastAsia="lt-LT"/>
        </w:rPr>
        <w:t>S</w:t>
      </w:r>
      <w:r w:rsidRPr="00A77FEC">
        <w:rPr>
          <w:rFonts w:ascii="Times New Roman" w:eastAsia="Times New Roman" w:hAnsi="Times New Roman" w:cs="Times New Roman"/>
          <w:bCs/>
          <w:sz w:val="24"/>
          <w:szCs w:val="24"/>
          <w:lang w:val="lt-LT" w:eastAsia="lt-LT"/>
        </w:rPr>
        <w:t xml:space="preserve">trategijos įgyvendinimo stebėseną, keitimą ir viešinimą </w:t>
      </w:r>
      <w:r w:rsidR="002F7923">
        <w:rPr>
          <w:rFonts w:ascii="Times New Roman" w:eastAsia="Times New Roman" w:hAnsi="Times New Roman" w:cs="Times New Roman"/>
          <w:bCs/>
          <w:sz w:val="24"/>
          <w:szCs w:val="24"/>
          <w:lang w:val="lt-LT" w:eastAsia="lt-LT"/>
        </w:rPr>
        <w:t>laikantis</w:t>
      </w:r>
      <w:r w:rsidRPr="00A77FEC">
        <w:rPr>
          <w:rFonts w:ascii="Times New Roman" w:eastAsia="Times New Roman" w:hAnsi="Times New Roman" w:cs="Times New Roman"/>
          <w:bCs/>
          <w:sz w:val="24"/>
          <w:szCs w:val="24"/>
          <w:lang w:val="lt-LT" w:eastAsia="lt-LT"/>
        </w:rPr>
        <w:t xml:space="preserve"> </w:t>
      </w:r>
      <w:r>
        <w:rPr>
          <w:rFonts w:ascii="Times New Roman" w:eastAsia="Times New Roman" w:hAnsi="Times New Roman" w:cs="Times New Roman"/>
          <w:bCs/>
          <w:sz w:val="24"/>
          <w:szCs w:val="24"/>
          <w:lang w:val="lt-LT" w:eastAsia="lt-LT"/>
        </w:rPr>
        <w:t>Apraš</w:t>
      </w:r>
      <w:r w:rsidR="002F7923">
        <w:rPr>
          <w:rFonts w:ascii="Times New Roman" w:eastAsia="Times New Roman" w:hAnsi="Times New Roman" w:cs="Times New Roman"/>
          <w:bCs/>
          <w:sz w:val="24"/>
          <w:szCs w:val="24"/>
          <w:lang w:val="lt-LT" w:eastAsia="lt-LT"/>
        </w:rPr>
        <w:t>o IV-VII skyriuose nustatytų reikalavimų.</w:t>
      </w:r>
    </w:p>
    <w:p w14:paraId="7C711807" w14:textId="77777777" w:rsidR="004230AC" w:rsidRPr="00FA0999" w:rsidRDefault="006A1327" w:rsidP="00FA0999">
      <w:pPr>
        <w:spacing w:after="0" w:line="240" w:lineRule="auto"/>
        <w:ind w:firstLine="1134"/>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5</w:t>
      </w:r>
      <w:r w:rsidR="004230AC">
        <w:rPr>
          <w:rFonts w:ascii="Times New Roman" w:eastAsia="Times New Roman" w:hAnsi="Times New Roman" w:cs="Times New Roman"/>
          <w:bCs/>
          <w:sz w:val="24"/>
          <w:szCs w:val="24"/>
          <w:lang w:val="lt-LT" w:eastAsia="lt-LT"/>
        </w:rPr>
        <w:t>.</w:t>
      </w:r>
      <w:r w:rsidR="004230AC" w:rsidRPr="004230AC">
        <w:t xml:space="preserve"> </w:t>
      </w:r>
      <w:r w:rsidR="004230AC" w:rsidRPr="004230AC">
        <w:rPr>
          <w:rFonts w:ascii="Times New Roman" w:eastAsia="Times New Roman" w:hAnsi="Times New Roman" w:cs="Times New Roman"/>
          <w:bCs/>
          <w:sz w:val="24"/>
          <w:szCs w:val="24"/>
          <w:lang w:val="lt-LT" w:eastAsia="lt-LT"/>
        </w:rPr>
        <w:t xml:space="preserve">Strategijos įgyvendinimo </w:t>
      </w:r>
      <w:r w:rsidR="004230AC">
        <w:rPr>
          <w:rFonts w:ascii="Times New Roman" w:eastAsia="Times New Roman" w:hAnsi="Times New Roman" w:cs="Times New Roman"/>
          <w:bCs/>
          <w:sz w:val="24"/>
          <w:szCs w:val="24"/>
          <w:lang w:val="lt-LT" w:eastAsia="lt-LT"/>
        </w:rPr>
        <w:t xml:space="preserve">koordinatoriaus </w:t>
      </w:r>
      <w:r>
        <w:rPr>
          <w:rFonts w:ascii="Times New Roman" w:eastAsia="Times New Roman" w:hAnsi="Times New Roman" w:cs="Times New Roman"/>
          <w:bCs/>
          <w:sz w:val="24"/>
          <w:szCs w:val="24"/>
          <w:lang w:val="lt-LT" w:eastAsia="lt-LT"/>
        </w:rPr>
        <w:t xml:space="preserve">patirtas </w:t>
      </w:r>
      <w:r w:rsidR="004230AC">
        <w:rPr>
          <w:rFonts w:ascii="Times New Roman" w:eastAsia="Times New Roman" w:hAnsi="Times New Roman" w:cs="Times New Roman"/>
          <w:bCs/>
          <w:sz w:val="24"/>
          <w:szCs w:val="24"/>
          <w:lang w:val="lt-LT" w:eastAsia="lt-LT"/>
        </w:rPr>
        <w:t>išlaidas,</w:t>
      </w:r>
      <w:r>
        <w:rPr>
          <w:rFonts w:ascii="Times New Roman" w:eastAsia="Times New Roman" w:hAnsi="Times New Roman" w:cs="Times New Roman"/>
          <w:bCs/>
          <w:sz w:val="24"/>
          <w:szCs w:val="24"/>
          <w:lang w:val="lt-LT" w:eastAsia="lt-LT"/>
        </w:rPr>
        <w:t xml:space="preserve"> tiesiogiai susijusias su šio Susitarimo 4 punktu, apmokėti solidariai iš visų Partnerių savivaldybių biudžetų kasmet suderinus atskiru susitarimu.  </w:t>
      </w:r>
      <w:r w:rsidR="004230AC">
        <w:rPr>
          <w:rFonts w:ascii="Times New Roman" w:eastAsia="Times New Roman" w:hAnsi="Times New Roman" w:cs="Times New Roman"/>
          <w:bCs/>
          <w:sz w:val="24"/>
          <w:szCs w:val="24"/>
          <w:lang w:val="lt-LT" w:eastAsia="lt-LT"/>
        </w:rPr>
        <w:t xml:space="preserve"> </w:t>
      </w:r>
    </w:p>
    <w:p w14:paraId="19B3BE14" w14:textId="77777777" w:rsidR="00FA0999" w:rsidRPr="00FA0999" w:rsidRDefault="006A1327" w:rsidP="00FA0999">
      <w:pPr>
        <w:spacing w:after="0" w:line="240" w:lineRule="auto"/>
        <w:ind w:firstLine="1134"/>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6</w:t>
      </w:r>
      <w:r w:rsidR="00FA0999" w:rsidRPr="00FA0999">
        <w:rPr>
          <w:rFonts w:ascii="Times New Roman" w:eastAsia="Times New Roman" w:hAnsi="Times New Roman" w:cs="Times New Roman"/>
          <w:bCs/>
          <w:sz w:val="24"/>
          <w:szCs w:val="24"/>
          <w:lang w:val="lt-LT" w:eastAsia="lt-LT"/>
        </w:rPr>
        <w:t>.</w:t>
      </w:r>
      <w:r w:rsidR="00FA0999" w:rsidRPr="00FA0999">
        <w:rPr>
          <w:rFonts w:ascii="Times New Roman" w:eastAsia="Times New Roman" w:hAnsi="Times New Roman" w:cs="Times New Roman"/>
          <w:bCs/>
          <w:sz w:val="24"/>
          <w:szCs w:val="24"/>
          <w:lang w:val="lt-LT" w:eastAsia="lt-LT"/>
        </w:rPr>
        <w:tab/>
        <w:t xml:space="preserve">Teikti informaciją Strategijos įgyvendinimo koordinatoriui </w:t>
      </w:r>
      <w:r w:rsidR="00362337">
        <w:rPr>
          <w:rFonts w:ascii="Times New Roman" w:eastAsia="Times New Roman" w:hAnsi="Times New Roman" w:cs="Times New Roman"/>
          <w:bCs/>
          <w:sz w:val="24"/>
          <w:szCs w:val="24"/>
          <w:lang w:val="lt-LT" w:eastAsia="lt-LT"/>
        </w:rPr>
        <w:t xml:space="preserve">apie Strategijos įgyvendinimą ir </w:t>
      </w:r>
      <w:r w:rsidR="00FA0999" w:rsidRPr="00FA0999">
        <w:rPr>
          <w:rFonts w:ascii="Times New Roman" w:eastAsia="Times New Roman" w:hAnsi="Times New Roman" w:cs="Times New Roman"/>
          <w:bCs/>
          <w:sz w:val="24"/>
          <w:szCs w:val="24"/>
          <w:lang w:val="lt-LT" w:eastAsia="lt-LT"/>
        </w:rPr>
        <w:t>pa</w:t>
      </w:r>
      <w:r w:rsidR="00A77FEC">
        <w:rPr>
          <w:rFonts w:ascii="Times New Roman" w:eastAsia="Times New Roman" w:hAnsi="Times New Roman" w:cs="Times New Roman"/>
          <w:bCs/>
          <w:sz w:val="24"/>
          <w:szCs w:val="24"/>
          <w:lang w:val="lt-LT" w:eastAsia="lt-LT"/>
        </w:rPr>
        <w:t>skirti</w:t>
      </w:r>
      <w:r w:rsidR="00FA0999" w:rsidRPr="00FA0999">
        <w:rPr>
          <w:rFonts w:ascii="Times New Roman" w:eastAsia="Times New Roman" w:hAnsi="Times New Roman" w:cs="Times New Roman"/>
          <w:bCs/>
          <w:sz w:val="24"/>
          <w:szCs w:val="24"/>
          <w:lang w:val="lt-LT" w:eastAsia="lt-LT"/>
        </w:rPr>
        <w:t xml:space="preserve"> Par</w:t>
      </w:r>
      <w:r w:rsidR="00A77FEC">
        <w:rPr>
          <w:rFonts w:ascii="Times New Roman" w:eastAsia="Times New Roman" w:hAnsi="Times New Roman" w:cs="Times New Roman"/>
          <w:bCs/>
          <w:sz w:val="24"/>
          <w:szCs w:val="24"/>
          <w:lang w:val="lt-LT" w:eastAsia="lt-LT"/>
        </w:rPr>
        <w:t>t</w:t>
      </w:r>
      <w:r w:rsidR="00FA0999" w:rsidRPr="00FA0999">
        <w:rPr>
          <w:rFonts w:ascii="Times New Roman" w:eastAsia="Times New Roman" w:hAnsi="Times New Roman" w:cs="Times New Roman"/>
          <w:bCs/>
          <w:sz w:val="24"/>
          <w:szCs w:val="24"/>
          <w:lang w:val="lt-LT" w:eastAsia="lt-LT"/>
        </w:rPr>
        <w:t xml:space="preserve">nerio atstovo kontaktinį asmenį. </w:t>
      </w:r>
    </w:p>
    <w:p w14:paraId="1F8FD0B9" w14:textId="77777777" w:rsidR="00A77FEC" w:rsidRPr="00FA0999" w:rsidRDefault="00A77FEC" w:rsidP="00A77FEC">
      <w:pPr>
        <w:spacing w:after="0" w:line="240" w:lineRule="auto"/>
        <w:ind w:firstLine="993"/>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  </w:t>
      </w:r>
      <w:r w:rsidR="006A1327">
        <w:rPr>
          <w:rFonts w:ascii="Times New Roman" w:eastAsia="Times New Roman" w:hAnsi="Times New Roman" w:cs="Times New Roman"/>
          <w:bCs/>
          <w:sz w:val="24"/>
          <w:szCs w:val="24"/>
          <w:lang w:val="lt-LT" w:eastAsia="lt-LT"/>
        </w:rPr>
        <w:t>7</w:t>
      </w:r>
      <w:r w:rsidRPr="00FA0999">
        <w:rPr>
          <w:rFonts w:ascii="Times New Roman" w:eastAsia="Times New Roman" w:hAnsi="Times New Roman" w:cs="Times New Roman"/>
          <w:bCs/>
          <w:sz w:val="24"/>
          <w:szCs w:val="24"/>
          <w:lang w:val="lt-LT" w:eastAsia="lt-LT"/>
        </w:rPr>
        <w:t>.</w:t>
      </w:r>
      <w:r w:rsidRPr="00FA0999">
        <w:rPr>
          <w:rFonts w:ascii="Times New Roman" w:eastAsia="Times New Roman" w:hAnsi="Times New Roman" w:cs="Times New Roman"/>
          <w:bCs/>
          <w:sz w:val="24"/>
          <w:szCs w:val="24"/>
          <w:lang w:val="lt-LT" w:eastAsia="lt-LT"/>
        </w:rPr>
        <w:tab/>
        <w:t>Visi su šio Susitarimo įgyvendinimu susiję klausimai sprendžiami bendru susitarimu Partnerių atstovų susitikimuose.</w:t>
      </w:r>
    </w:p>
    <w:p w14:paraId="6B46F94F" w14:textId="77777777" w:rsidR="00FA0999" w:rsidRPr="00FA0999" w:rsidRDefault="006A1327" w:rsidP="00FA0999">
      <w:pPr>
        <w:spacing w:after="0" w:line="240" w:lineRule="auto"/>
        <w:ind w:firstLine="1134"/>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8</w:t>
      </w:r>
      <w:r w:rsidR="00FA0999" w:rsidRPr="00FA0999">
        <w:rPr>
          <w:rFonts w:ascii="Times New Roman" w:eastAsia="Times New Roman" w:hAnsi="Times New Roman" w:cs="Times New Roman"/>
          <w:bCs/>
          <w:sz w:val="24"/>
          <w:szCs w:val="24"/>
          <w:lang w:val="lt-LT" w:eastAsia="lt-LT"/>
        </w:rPr>
        <w:t>.</w:t>
      </w:r>
      <w:r w:rsidR="00FA0999" w:rsidRPr="00FA0999">
        <w:rPr>
          <w:rFonts w:ascii="Times New Roman" w:eastAsia="Times New Roman" w:hAnsi="Times New Roman" w:cs="Times New Roman"/>
          <w:bCs/>
          <w:sz w:val="24"/>
          <w:szCs w:val="24"/>
          <w:lang w:val="lt-LT" w:eastAsia="lt-LT"/>
        </w:rPr>
        <w:tab/>
        <w:t>Pakeitus Strategiją, jei šie pakeitimai neįtakoja Susitarimo turinio, šis Susitarimas nekeičiamas.</w:t>
      </w:r>
    </w:p>
    <w:p w14:paraId="1CD73D11" w14:textId="77777777" w:rsidR="00FA0999" w:rsidRPr="00FA0999" w:rsidRDefault="00E14D9C" w:rsidP="00FA0999">
      <w:pPr>
        <w:spacing w:after="0" w:line="240" w:lineRule="auto"/>
        <w:ind w:firstLine="993"/>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  </w:t>
      </w:r>
      <w:r w:rsidR="006A1327">
        <w:rPr>
          <w:rFonts w:ascii="Times New Roman" w:eastAsia="Times New Roman" w:hAnsi="Times New Roman" w:cs="Times New Roman"/>
          <w:bCs/>
          <w:sz w:val="24"/>
          <w:szCs w:val="24"/>
          <w:lang w:val="lt-LT" w:eastAsia="lt-LT"/>
        </w:rPr>
        <w:t>9</w:t>
      </w:r>
      <w:r w:rsidR="00FA0999" w:rsidRPr="00FA0999">
        <w:rPr>
          <w:rFonts w:ascii="Times New Roman" w:eastAsia="Times New Roman" w:hAnsi="Times New Roman" w:cs="Times New Roman"/>
          <w:bCs/>
          <w:sz w:val="24"/>
          <w:szCs w:val="24"/>
          <w:lang w:val="lt-LT" w:eastAsia="lt-LT"/>
        </w:rPr>
        <w:t>.</w:t>
      </w:r>
      <w:r w:rsidR="00FA0999" w:rsidRPr="00FA0999">
        <w:rPr>
          <w:rFonts w:ascii="Times New Roman" w:eastAsia="Times New Roman" w:hAnsi="Times New Roman" w:cs="Times New Roman"/>
          <w:bCs/>
          <w:sz w:val="24"/>
          <w:szCs w:val="24"/>
          <w:lang w:val="lt-LT" w:eastAsia="lt-LT"/>
        </w:rPr>
        <w:tab/>
        <w:t xml:space="preserve">Susitarimas sudaromas </w:t>
      </w:r>
      <w:r>
        <w:rPr>
          <w:rFonts w:ascii="Times New Roman" w:eastAsia="Times New Roman" w:hAnsi="Times New Roman" w:cs="Times New Roman"/>
          <w:bCs/>
          <w:sz w:val="24"/>
          <w:szCs w:val="24"/>
          <w:lang w:val="lt-LT" w:eastAsia="lt-LT"/>
        </w:rPr>
        <w:t>keturiais</w:t>
      </w:r>
      <w:r w:rsidR="00FA0999" w:rsidRPr="00FA0999">
        <w:rPr>
          <w:rFonts w:ascii="Times New Roman" w:eastAsia="Times New Roman" w:hAnsi="Times New Roman" w:cs="Times New Roman"/>
          <w:bCs/>
          <w:sz w:val="24"/>
          <w:szCs w:val="24"/>
          <w:lang w:val="lt-LT" w:eastAsia="lt-LT"/>
        </w:rPr>
        <w:t xml:space="preserve"> egzemplioriais, turinčiais vienodą teisinę galią, – po vieną kiekvienam Partneriui.</w:t>
      </w:r>
    </w:p>
    <w:p w14:paraId="084E8846" w14:textId="77777777" w:rsidR="00FA0999" w:rsidRPr="00FA0999" w:rsidRDefault="00E14D9C" w:rsidP="00FA0999">
      <w:pPr>
        <w:spacing w:after="0" w:line="240" w:lineRule="auto"/>
        <w:ind w:firstLine="993"/>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 </w:t>
      </w:r>
      <w:r w:rsidR="006A1327">
        <w:rPr>
          <w:rFonts w:ascii="Times New Roman" w:eastAsia="Times New Roman" w:hAnsi="Times New Roman" w:cs="Times New Roman"/>
          <w:bCs/>
          <w:sz w:val="24"/>
          <w:szCs w:val="24"/>
          <w:lang w:val="lt-LT" w:eastAsia="lt-LT"/>
        </w:rPr>
        <w:t>10</w:t>
      </w:r>
      <w:r w:rsidR="00FA0999" w:rsidRPr="00FA0999">
        <w:rPr>
          <w:rFonts w:ascii="Times New Roman" w:eastAsia="Times New Roman" w:hAnsi="Times New Roman" w:cs="Times New Roman"/>
          <w:bCs/>
          <w:sz w:val="24"/>
          <w:szCs w:val="24"/>
          <w:lang w:val="lt-LT" w:eastAsia="lt-LT"/>
        </w:rPr>
        <w:t>.</w:t>
      </w:r>
      <w:r w:rsidR="00FA0999" w:rsidRPr="00FA0999">
        <w:rPr>
          <w:rFonts w:ascii="Times New Roman" w:eastAsia="Times New Roman" w:hAnsi="Times New Roman" w:cs="Times New Roman"/>
          <w:bCs/>
          <w:sz w:val="24"/>
          <w:szCs w:val="24"/>
          <w:lang w:val="lt-LT" w:eastAsia="lt-LT"/>
        </w:rPr>
        <w:tab/>
        <w:t>Bet koks ginčas, kylantis iš Susitarimo ar su juo susijęs, turi būti sprendžiamas tarpusavio derybomis. Nepavykus ginčų išspręsti derybomis, jie sprendžiami Lietuvos Respublikos įstatymų nustatyta tvarka.</w:t>
      </w:r>
    </w:p>
    <w:p w14:paraId="47CEA9C4" w14:textId="77777777" w:rsidR="00FA0999" w:rsidRPr="00FA0999" w:rsidRDefault="006A1327" w:rsidP="00FA0999">
      <w:pPr>
        <w:spacing w:after="0" w:line="240" w:lineRule="auto"/>
        <w:ind w:firstLine="993"/>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 xml:space="preserve"> 11</w:t>
      </w:r>
      <w:r w:rsidR="00FA0999" w:rsidRPr="00FA0999">
        <w:rPr>
          <w:rFonts w:ascii="Times New Roman" w:eastAsia="Times New Roman" w:hAnsi="Times New Roman" w:cs="Times New Roman"/>
          <w:bCs/>
          <w:sz w:val="24"/>
          <w:szCs w:val="24"/>
          <w:lang w:val="lt-LT" w:eastAsia="lt-LT"/>
        </w:rPr>
        <w:t>.</w:t>
      </w:r>
      <w:r w:rsidR="00FA0999" w:rsidRPr="00FA0999">
        <w:rPr>
          <w:rFonts w:ascii="Times New Roman" w:eastAsia="Times New Roman" w:hAnsi="Times New Roman" w:cs="Times New Roman"/>
          <w:bCs/>
          <w:sz w:val="24"/>
          <w:szCs w:val="24"/>
          <w:lang w:val="lt-LT" w:eastAsia="lt-LT"/>
        </w:rPr>
        <w:tab/>
        <w:t>Susitarimas ir jo pakeitimai įsigalioja nuo paskutinio Partnerio pasirašymo dienos ir galioja iki Strategijos įgyvendinimo pabaigos.</w:t>
      </w:r>
    </w:p>
    <w:p w14:paraId="5E5390DA" w14:textId="77777777" w:rsidR="00FA0999" w:rsidRPr="00FA0999" w:rsidRDefault="00FA0999" w:rsidP="00FA0999">
      <w:pPr>
        <w:spacing w:after="0" w:line="240" w:lineRule="auto"/>
        <w:jc w:val="both"/>
        <w:rPr>
          <w:rFonts w:ascii="Times New Roman" w:eastAsia="Times New Roman" w:hAnsi="Times New Roman" w:cs="Times New Roman"/>
          <w:bCs/>
          <w:sz w:val="24"/>
          <w:szCs w:val="24"/>
          <w:lang w:val="lt-LT" w:eastAsia="lt-LT"/>
        </w:rPr>
      </w:pPr>
    </w:p>
    <w:p w14:paraId="46E8F46E" w14:textId="77777777" w:rsidR="00FA0999" w:rsidRPr="00FA0999" w:rsidRDefault="00FA0999" w:rsidP="00FA0999">
      <w:pPr>
        <w:spacing w:after="0" w:line="240" w:lineRule="auto"/>
        <w:jc w:val="center"/>
        <w:rPr>
          <w:rFonts w:ascii="Times New Roman" w:eastAsia="Times New Roman" w:hAnsi="Times New Roman" w:cs="Times New Roman"/>
          <w:b/>
          <w:sz w:val="24"/>
          <w:szCs w:val="24"/>
          <w:lang w:val="lt-LT" w:eastAsia="lt-LT"/>
        </w:rPr>
      </w:pPr>
    </w:p>
    <w:tbl>
      <w:tblPr>
        <w:tblStyle w:val="Lentelstinklelis"/>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694"/>
        <w:gridCol w:w="2693"/>
        <w:gridCol w:w="1559"/>
      </w:tblGrid>
      <w:tr w:rsidR="00FA0999" w:rsidRPr="00FA0999" w14:paraId="13D94C23" w14:textId="77777777" w:rsidTr="006A7C4C">
        <w:tc>
          <w:tcPr>
            <w:tcW w:w="2835" w:type="dxa"/>
            <w:vAlign w:val="center"/>
          </w:tcPr>
          <w:p w14:paraId="71F5F5C0" w14:textId="77777777" w:rsidR="00FA0999" w:rsidRPr="00FA0999" w:rsidRDefault="00E14D9C" w:rsidP="00FA0999">
            <w:pPr>
              <w:tabs>
                <w:tab w:val="left" w:pos="851"/>
              </w:tabs>
              <w:rPr>
                <w:color w:val="212529"/>
                <w:sz w:val="24"/>
                <w:szCs w:val="24"/>
                <w:shd w:val="clear" w:color="auto" w:fill="FFFFFF"/>
              </w:rPr>
            </w:pPr>
            <w:r>
              <w:rPr>
                <w:rFonts w:eastAsia="Calibri"/>
                <w:spacing w:val="2"/>
                <w:sz w:val="24"/>
                <w:szCs w:val="24"/>
              </w:rPr>
              <w:t>Mažeikių rajono</w:t>
            </w:r>
            <w:r w:rsidR="00FA0999" w:rsidRPr="00FA0999">
              <w:rPr>
                <w:rFonts w:eastAsia="Calibri"/>
                <w:spacing w:val="2"/>
                <w:sz w:val="24"/>
                <w:szCs w:val="24"/>
              </w:rPr>
              <w:t xml:space="preserve"> savivaldybės mer</w:t>
            </w:r>
            <w:r>
              <w:rPr>
                <w:rFonts w:eastAsia="Calibri"/>
                <w:spacing w:val="2"/>
                <w:sz w:val="24"/>
                <w:szCs w:val="24"/>
              </w:rPr>
              <w:t>ė</w:t>
            </w:r>
          </w:p>
        </w:tc>
        <w:tc>
          <w:tcPr>
            <w:tcW w:w="2694" w:type="dxa"/>
            <w:tcBorders>
              <w:bottom w:val="single" w:sz="4" w:space="0" w:color="auto"/>
            </w:tcBorders>
            <w:vAlign w:val="center"/>
          </w:tcPr>
          <w:p w14:paraId="03E1C622" w14:textId="77777777" w:rsidR="00FA0999" w:rsidRPr="00FA0999" w:rsidRDefault="00FA0999" w:rsidP="00FA0999">
            <w:pPr>
              <w:tabs>
                <w:tab w:val="left" w:pos="851"/>
              </w:tabs>
              <w:jc w:val="center"/>
              <w:rPr>
                <w:color w:val="212529"/>
                <w:sz w:val="24"/>
                <w:szCs w:val="24"/>
                <w:shd w:val="clear" w:color="auto" w:fill="FFFFFF"/>
              </w:rPr>
            </w:pPr>
          </w:p>
        </w:tc>
        <w:tc>
          <w:tcPr>
            <w:tcW w:w="2693" w:type="dxa"/>
            <w:vAlign w:val="center"/>
          </w:tcPr>
          <w:p w14:paraId="077AB1BD" w14:textId="77777777" w:rsidR="00FA0999" w:rsidRPr="00FA0999" w:rsidRDefault="00E14D9C" w:rsidP="00FA0999">
            <w:pPr>
              <w:tabs>
                <w:tab w:val="left" w:pos="851"/>
              </w:tabs>
              <w:jc w:val="center"/>
              <w:rPr>
                <w:color w:val="212529"/>
                <w:sz w:val="24"/>
                <w:szCs w:val="24"/>
                <w:shd w:val="clear" w:color="auto" w:fill="FFFFFF"/>
              </w:rPr>
            </w:pPr>
            <w:r>
              <w:rPr>
                <w:color w:val="212529"/>
                <w:sz w:val="24"/>
                <w:szCs w:val="24"/>
                <w:shd w:val="clear" w:color="auto" w:fill="FFFFFF"/>
              </w:rPr>
              <w:t>Rūta Matulaitienė</w:t>
            </w:r>
          </w:p>
        </w:tc>
        <w:tc>
          <w:tcPr>
            <w:tcW w:w="1559" w:type="dxa"/>
            <w:tcBorders>
              <w:bottom w:val="single" w:sz="4" w:space="0" w:color="auto"/>
            </w:tcBorders>
            <w:vAlign w:val="center"/>
          </w:tcPr>
          <w:p w14:paraId="090159A9" w14:textId="77777777" w:rsidR="00FA0999" w:rsidRPr="00FA0999" w:rsidRDefault="00787BFF" w:rsidP="00FA0999">
            <w:pPr>
              <w:tabs>
                <w:tab w:val="left" w:pos="851"/>
              </w:tabs>
              <w:jc w:val="center"/>
              <w:rPr>
                <w:color w:val="212529"/>
                <w:sz w:val="24"/>
                <w:szCs w:val="24"/>
                <w:shd w:val="clear" w:color="auto" w:fill="FFFFFF"/>
              </w:rPr>
            </w:pPr>
            <w:r>
              <w:rPr>
                <w:color w:val="212529"/>
                <w:sz w:val="24"/>
                <w:szCs w:val="24"/>
                <w:shd w:val="clear" w:color="auto" w:fill="FFFFFF"/>
              </w:rPr>
              <w:t>2024-06-26</w:t>
            </w:r>
          </w:p>
        </w:tc>
      </w:tr>
      <w:tr w:rsidR="00FA0999" w:rsidRPr="00FA0999" w14:paraId="09BCE41B" w14:textId="77777777" w:rsidTr="006A7C4C">
        <w:tc>
          <w:tcPr>
            <w:tcW w:w="2835" w:type="dxa"/>
            <w:vAlign w:val="center"/>
          </w:tcPr>
          <w:p w14:paraId="124AA6D8" w14:textId="77777777" w:rsidR="00FA0999" w:rsidRPr="00FA0999" w:rsidRDefault="00FA0999" w:rsidP="00FA0999">
            <w:pPr>
              <w:tabs>
                <w:tab w:val="left" w:pos="851"/>
              </w:tabs>
              <w:rPr>
                <w:color w:val="212529"/>
                <w:sz w:val="24"/>
                <w:szCs w:val="24"/>
                <w:shd w:val="clear" w:color="auto" w:fill="FFFFFF"/>
              </w:rPr>
            </w:pPr>
          </w:p>
        </w:tc>
        <w:tc>
          <w:tcPr>
            <w:tcW w:w="2694" w:type="dxa"/>
            <w:tcBorders>
              <w:top w:val="single" w:sz="4" w:space="0" w:color="auto"/>
            </w:tcBorders>
            <w:vAlign w:val="center"/>
          </w:tcPr>
          <w:p w14:paraId="54EF74EC" w14:textId="77777777" w:rsidR="00FA0999" w:rsidRPr="00FA0999" w:rsidRDefault="00FA0999" w:rsidP="00FA0999">
            <w:pPr>
              <w:tabs>
                <w:tab w:val="left" w:pos="851"/>
              </w:tabs>
              <w:jc w:val="center"/>
              <w:rPr>
                <w:color w:val="212529"/>
                <w:sz w:val="24"/>
                <w:szCs w:val="24"/>
                <w:shd w:val="clear" w:color="auto" w:fill="FFFFFF"/>
              </w:rPr>
            </w:pPr>
            <w:r w:rsidRPr="00FA0999">
              <w:rPr>
                <w:rFonts w:eastAsia="Calibri"/>
                <w:i/>
                <w:spacing w:val="2"/>
                <w:sz w:val="24"/>
                <w:szCs w:val="24"/>
              </w:rPr>
              <w:t>(parašas)</w:t>
            </w:r>
          </w:p>
        </w:tc>
        <w:tc>
          <w:tcPr>
            <w:tcW w:w="2693" w:type="dxa"/>
            <w:vAlign w:val="center"/>
          </w:tcPr>
          <w:p w14:paraId="01657461" w14:textId="77777777" w:rsidR="00FA0999" w:rsidRPr="00FA0999" w:rsidRDefault="00FA0999" w:rsidP="00FA0999">
            <w:pPr>
              <w:tabs>
                <w:tab w:val="left" w:pos="851"/>
              </w:tabs>
              <w:rPr>
                <w:color w:val="212529"/>
                <w:sz w:val="24"/>
                <w:szCs w:val="24"/>
                <w:shd w:val="clear" w:color="auto" w:fill="FFFFFF"/>
              </w:rPr>
            </w:pPr>
          </w:p>
        </w:tc>
        <w:tc>
          <w:tcPr>
            <w:tcW w:w="1559" w:type="dxa"/>
            <w:tcBorders>
              <w:top w:val="single" w:sz="4" w:space="0" w:color="auto"/>
            </w:tcBorders>
            <w:vAlign w:val="center"/>
          </w:tcPr>
          <w:p w14:paraId="2C2E5D45" w14:textId="77777777" w:rsidR="00FA0999" w:rsidRPr="00FA0999" w:rsidRDefault="00FA0999" w:rsidP="00FA0999">
            <w:pPr>
              <w:tabs>
                <w:tab w:val="left" w:pos="851"/>
              </w:tabs>
              <w:jc w:val="center"/>
              <w:rPr>
                <w:rFonts w:eastAsia="Calibri"/>
                <w:i/>
                <w:spacing w:val="2"/>
                <w:sz w:val="24"/>
                <w:szCs w:val="24"/>
              </w:rPr>
            </w:pPr>
            <w:r w:rsidRPr="00FA0999">
              <w:rPr>
                <w:rFonts w:eastAsia="Calibri"/>
                <w:i/>
                <w:spacing w:val="2"/>
                <w:sz w:val="24"/>
                <w:szCs w:val="24"/>
              </w:rPr>
              <w:t>(data)</w:t>
            </w:r>
          </w:p>
        </w:tc>
      </w:tr>
      <w:tr w:rsidR="00FA0999" w:rsidRPr="00FA0999" w14:paraId="19B8C61E" w14:textId="77777777" w:rsidTr="006A7C4C">
        <w:tc>
          <w:tcPr>
            <w:tcW w:w="2835" w:type="dxa"/>
            <w:vAlign w:val="center"/>
          </w:tcPr>
          <w:p w14:paraId="2E879C17" w14:textId="77777777" w:rsidR="00FA0999" w:rsidRPr="00FA0999" w:rsidRDefault="00FA0999" w:rsidP="00FA0999">
            <w:pPr>
              <w:tabs>
                <w:tab w:val="left" w:pos="851"/>
              </w:tabs>
              <w:rPr>
                <w:color w:val="212529"/>
                <w:sz w:val="24"/>
                <w:szCs w:val="24"/>
                <w:shd w:val="clear" w:color="auto" w:fill="FFFFFF"/>
              </w:rPr>
            </w:pPr>
          </w:p>
        </w:tc>
        <w:tc>
          <w:tcPr>
            <w:tcW w:w="2694" w:type="dxa"/>
            <w:vAlign w:val="center"/>
          </w:tcPr>
          <w:p w14:paraId="237BE9FF" w14:textId="77777777" w:rsidR="00FA0999" w:rsidRPr="00FA0999" w:rsidRDefault="00FA0999" w:rsidP="00FA0999">
            <w:pPr>
              <w:tabs>
                <w:tab w:val="left" w:pos="851"/>
              </w:tabs>
              <w:jc w:val="center"/>
              <w:rPr>
                <w:color w:val="212529"/>
                <w:sz w:val="24"/>
                <w:szCs w:val="24"/>
                <w:shd w:val="clear" w:color="auto" w:fill="FFFFFF"/>
              </w:rPr>
            </w:pPr>
          </w:p>
        </w:tc>
        <w:tc>
          <w:tcPr>
            <w:tcW w:w="2693" w:type="dxa"/>
            <w:vAlign w:val="center"/>
          </w:tcPr>
          <w:p w14:paraId="63CCB057" w14:textId="77777777" w:rsidR="00FA0999" w:rsidRPr="00FA0999" w:rsidRDefault="00FA0999" w:rsidP="00FA0999">
            <w:pPr>
              <w:tabs>
                <w:tab w:val="left" w:pos="851"/>
              </w:tabs>
              <w:jc w:val="center"/>
              <w:rPr>
                <w:color w:val="212529"/>
                <w:sz w:val="24"/>
                <w:szCs w:val="24"/>
                <w:shd w:val="clear" w:color="auto" w:fill="FFFFFF"/>
              </w:rPr>
            </w:pPr>
          </w:p>
        </w:tc>
        <w:tc>
          <w:tcPr>
            <w:tcW w:w="1559" w:type="dxa"/>
            <w:vAlign w:val="center"/>
          </w:tcPr>
          <w:p w14:paraId="3E95F3DA" w14:textId="77777777" w:rsidR="00FA0999" w:rsidRPr="00FA0999" w:rsidRDefault="00FA0999" w:rsidP="00FA0999">
            <w:pPr>
              <w:tabs>
                <w:tab w:val="left" w:pos="851"/>
              </w:tabs>
              <w:jc w:val="center"/>
              <w:rPr>
                <w:color w:val="212529"/>
                <w:sz w:val="24"/>
                <w:szCs w:val="24"/>
                <w:shd w:val="clear" w:color="auto" w:fill="FFFFFF"/>
              </w:rPr>
            </w:pPr>
          </w:p>
        </w:tc>
      </w:tr>
      <w:tr w:rsidR="00FA0999" w:rsidRPr="00FA0999" w14:paraId="02D6CFBB" w14:textId="77777777" w:rsidTr="006A7C4C">
        <w:tc>
          <w:tcPr>
            <w:tcW w:w="2835" w:type="dxa"/>
            <w:vAlign w:val="center"/>
          </w:tcPr>
          <w:p w14:paraId="60953128" w14:textId="77777777" w:rsidR="00FA0999" w:rsidRPr="00FA0999" w:rsidRDefault="00E14D9C" w:rsidP="00FA0999">
            <w:pPr>
              <w:tabs>
                <w:tab w:val="left" w:pos="851"/>
              </w:tabs>
              <w:rPr>
                <w:color w:val="212529"/>
                <w:sz w:val="24"/>
                <w:szCs w:val="24"/>
                <w:shd w:val="clear" w:color="auto" w:fill="FFFFFF"/>
              </w:rPr>
            </w:pPr>
            <w:r>
              <w:rPr>
                <w:rFonts w:eastAsia="Calibri"/>
                <w:sz w:val="24"/>
                <w:szCs w:val="24"/>
              </w:rPr>
              <w:t>Plungės rajono</w:t>
            </w:r>
            <w:r w:rsidR="00FA0999" w:rsidRPr="00FA0999">
              <w:rPr>
                <w:rFonts w:eastAsia="Calibri"/>
                <w:sz w:val="24"/>
                <w:szCs w:val="24"/>
              </w:rPr>
              <w:t xml:space="preserve"> savivaldybės meras</w:t>
            </w:r>
          </w:p>
        </w:tc>
        <w:tc>
          <w:tcPr>
            <w:tcW w:w="2694" w:type="dxa"/>
            <w:tcBorders>
              <w:bottom w:val="single" w:sz="4" w:space="0" w:color="auto"/>
            </w:tcBorders>
            <w:vAlign w:val="center"/>
          </w:tcPr>
          <w:p w14:paraId="568BB794" w14:textId="77777777" w:rsidR="00FA0999" w:rsidRPr="00FA0999" w:rsidRDefault="00FA0999" w:rsidP="00FA0999">
            <w:pPr>
              <w:tabs>
                <w:tab w:val="left" w:pos="851"/>
              </w:tabs>
              <w:jc w:val="center"/>
              <w:rPr>
                <w:color w:val="212529"/>
                <w:sz w:val="24"/>
                <w:szCs w:val="24"/>
                <w:shd w:val="clear" w:color="auto" w:fill="FFFFFF"/>
              </w:rPr>
            </w:pPr>
          </w:p>
        </w:tc>
        <w:tc>
          <w:tcPr>
            <w:tcW w:w="2693" w:type="dxa"/>
            <w:vAlign w:val="center"/>
          </w:tcPr>
          <w:p w14:paraId="490E7FC2" w14:textId="77777777" w:rsidR="00FA0999" w:rsidRPr="00FA0999" w:rsidRDefault="00E14D9C" w:rsidP="00FA0999">
            <w:pPr>
              <w:tabs>
                <w:tab w:val="left" w:pos="851"/>
              </w:tabs>
              <w:jc w:val="center"/>
              <w:rPr>
                <w:color w:val="212529"/>
                <w:sz w:val="24"/>
                <w:szCs w:val="24"/>
                <w:shd w:val="clear" w:color="auto" w:fill="FFFFFF"/>
              </w:rPr>
            </w:pPr>
            <w:r>
              <w:rPr>
                <w:rFonts w:eastAsia="Calibri"/>
                <w:sz w:val="24"/>
                <w:szCs w:val="24"/>
              </w:rPr>
              <w:t>Audrius Klišonis</w:t>
            </w:r>
          </w:p>
        </w:tc>
        <w:tc>
          <w:tcPr>
            <w:tcW w:w="1559" w:type="dxa"/>
            <w:tcBorders>
              <w:bottom w:val="single" w:sz="4" w:space="0" w:color="auto"/>
            </w:tcBorders>
            <w:vAlign w:val="center"/>
          </w:tcPr>
          <w:p w14:paraId="4C480AE5" w14:textId="77777777" w:rsidR="00FA0999" w:rsidRPr="00FA0999" w:rsidRDefault="00787BFF" w:rsidP="00FA0999">
            <w:pPr>
              <w:tabs>
                <w:tab w:val="left" w:pos="851"/>
              </w:tabs>
              <w:jc w:val="center"/>
              <w:rPr>
                <w:color w:val="212529"/>
                <w:sz w:val="24"/>
                <w:szCs w:val="24"/>
                <w:shd w:val="clear" w:color="auto" w:fill="FFFFFF"/>
              </w:rPr>
            </w:pPr>
            <w:r w:rsidRPr="00787BFF">
              <w:rPr>
                <w:color w:val="212529"/>
                <w:sz w:val="24"/>
                <w:szCs w:val="24"/>
                <w:shd w:val="clear" w:color="auto" w:fill="FFFFFF"/>
                <w:lang w:val="en-US"/>
              </w:rPr>
              <w:t>2024-06-26</w:t>
            </w:r>
          </w:p>
        </w:tc>
      </w:tr>
      <w:tr w:rsidR="00FA0999" w:rsidRPr="00FA0999" w14:paraId="7F422949" w14:textId="77777777" w:rsidTr="006A7C4C">
        <w:tc>
          <w:tcPr>
            <w:tcW w:w="2835" w:type="dxa"/>
            <w:vAlign w:val="center"/>
          </w:tcPr>
          <w:p w14:paraId="05EBF8ED" w14:textId="77777777" w:rsidR="00FA0999" w:rsidRPr="00FA0999" w:rsidRDefault="00FA0999" w:rsidP="00FA0999">
            <w:pPr>
              <w:tabs>
                <w:tab w:val="left" w:pos="851"/>
              </w:tabs>
              <w:rPr>
                <w:color w:val="212529"/>
                <w:sz w:val="24"/>
                <w:szCs w:val="24"/>
                <w:shd w:val="clear" w:color="auto" w:fill="FFFFFF"/>
              </w:rPr>
            </w:pPr>
          </w:p>
        </w:tc>
        <w:tc>
          <w:tcPr>
            <w:tcW w:w="2694" w:type="dxa"/>
            <w:tcBorders>
              <w:top w:val="single" w:sz="4" w:space="0" w:color="auto"/>
            </w:tcBorders>
            <w:vAlign w:val="center"/>
          </w:tcPr>
          <w:p w14:paraId="48B95439" w14:textId="77777777" w:rsidR="00FA0999" w:rsidRPr="00FA0999" w:rsidRDefault="00FA0999" w:rsidP="00FA0999">
            <w:pPr>
              <w:tabs>
                <w:tab w:val="left" w:pos="851"/>
              </w:tabs>
              <w:jc w:val="center"/>
              <w:rPr>
                <w:color w:val="212529"/>
                <w:sz w:val="24"/>
                <w:szCs w:val="24"/>
                <w:shd w:val="clear" w:color="auto" w:fill="FFFFFF"/>
              </w:rPr>
            </w:pPr>
            <w:r w:rsidRPr="00FA0999">
              <w:rPr>
                <w:rFonts w:eastAsia="Calibri"/>
                <w:i/>
                <w:spacing w:val="2"/>
                <w:sz w:val="24"/>
                <w:szCs w:val="24"/>
              </w:rPr>
              <w:t>(parašas)</w:t>
            </w:r>
          </w:p>
        </w:tc>
        <w:tc>
          <w:tcPr>
            <w:tcW w:w="2693" w:type="dxa"/>
            <w:vAlign w:val="center"/>
          </w:tcPr>
          <w:p w14:paraId="08E0DB0E" w14:textId="77777777" w:rsidR="00FA0999" w:rsidRPr="00FA0999" w:rsidRDefault="00FA0999" w:rsidP="00FA0999">
            <w:pPr>
              <w:tabs>
                <w:tab w:val="left" w:pos="851"/>
              </w:tabs>
              <w:jc w:val="center"/>
              <w:rPr>
                <w:color w:val="212529"/>
                <w:sz w:val="24"/>
                <w:szCs w:val="24"/>
                <w:shd w:val="clear" w:color="auto" w:fill="FFFFFF"/>
              </w:rPr>
            </w:pPr>
          </w:p>
        </w:tc>
        <w:tc>
          <w:tcPr>
            <w:tcW w:w="1559" w:type="dxa"/>
            <w:tcBorders>
              <w:top w:val="single" w:sz="4" w:space="0" w:color="auto"/>
            </w:tcBorders>
            <w:vAlign w:val="center"/>
          </w:tcPr>
          <w:p w14:paraId="35404FCD" w14:textId="77777777" w:rsidR="00FA0999" w:rsidRPr="00FA0999" w:rsidRDefault="00FA0999" w:rsidP="00FA0999">
            <w:pPr>
              <w:tabs>
                <w:tab w:val="left" w:pos="851"/>
              </w:tabs>
              <w:jc w:val="center"/>
              <w:rPr>
                <w:color w:val="212529"/>
                <w:sz w:val="24"/>
                <w:szCs w:val="24"/>
                <w:shd w:val="clear" w:color="auto" w:fill="FFFFFF"/>
              </w:rPr>
            </w:pPr>
            <w:r w:rsidRPr="00FA0999">
              <w:rPr>
                <w:rFonts w:eastAsia="Calibri"/>
                <w:i/>
                <w:spacing w:val="2"/>
                <w:sz w:val="24"/>
                <w:szCs w:val="24"/>
              </w:rPr>
              <w:t>(data)</w:t>
            </w:r>
          </w:p>
        </w:tc>
      </w:tr>
      <w:tr w:rsidR="00FA0999" w:rsidRPr="00FA0999" w14:paraId="7F97210E" w14:textId="77777777" w:rsidTr="006A7C4C">
        <w:tc>
          <w:tcPr>
            <w:tcW w:w="2835" w:type="dxa"/>
            <w:vAlign w:val="center"/>
          </w:tcPr>
          <w:p w14:paraId="2836D01B" w14:textId="77777777" w:rsidR="00FA0999" w:rsidRPr="00FA0999" w:rsidRDefault="00FA0999" w:rsidP="00FA0999">
            <w:pPr>
              <w:tabs>
                <w:tab w:val="left" w:pos="851"/>
              </w:tabs>
              <w:rPr>
                <w:color w:val="212529"/>
                <w:sz w:val="24"/>
                <w:szCs w:val="24"/>
                <w:shd w:val="clear" w:color="auto" w:fill="FFFFFF"/>
              </w:rPr>
            </w:pPr>
          </w:p>
        </w:tc>
        <w:tc>
          <w:tcPr>
            <w:tcW w:w="2694" w:type="dxa"/>
            <w:vAlign w:val="center"/>
          </w:tcPr>
          <w:p w14:paraId="59DA5594" w14:textId="77777777" w:rsidR="00FA0999" w:rsidRPr="00FA0999" w:rsidRDefault="00FA0999" w:rsidP="00FA0999">
            <w:pPr>
              <w:tabs>
                <w:tab w:val="left" w:pos="851"/>
              </w:tabs>
              <w:jc w:val="center"/>
              <w:rPr>
                <w:color w:val="212529"/>
                <w:sz w:val="24"/>
                <w:szCs w:val="24"/>
                <w:shd w:val="clear" w:color="auto" w:fill="FFFFFF"/>
              </w:rPr>
            </w:pPr>
          </w:p>
        </w:tc>
        <w:tc>
          <w:tcPr>
            <w:tcW w:w="2693" w:type="dxa"/>
            <w:vAlign w:val="center"/>
          </w:tcPr>
          <w:p w14:paraId="2811EA54" w14:textId="77777777" w:rsidR="00FA0999" w:rsidRPr="00FA0999" w:rsidRDefault="00FA0999" w:rsidP="00FA0999">
            <w:pPr>
              <w:tabs>
                <w:tab w:val="left" w:pos="851"/>
              </w:tabs>
              <w:jc w:val="center"/>
              <w:rPr>
                <w:color w:val="212529"/>
                <w:sz w:val="24"/>
                <w:szCs w:val="24"/>
                <w:shd w:val="clear" w:color="auto" w:fill="FFFFFF"/>
              </w:rPr>
            </w:pPr>
          </w:p>
        </w:tc>
        <w:tc>
          <w:tcPr>
            <w:tcW w:w="1559" w:type="dxa"/>
            <w:vAlign w:val="center"/>
          </w:tcPr>
          <w:p w14:paraId="52577101" w14:textId="77777777" w:rsidR="00FA0999" w:rsidRPr="00FA0999" w:rsidRDefault="00FA0999" w:rsidP="00FA0999">
            <w:pPr>
              <w:tabs>
                <w:tab w:val="left" w:pos="851"/>
              </w:tabs>
              <w:jc w:val="center"/>
              <w:rPr>
                <w:color w:val="212529"/>
                <w:sz w:val="24"/>
                <w:szCs w:val="24"/>
                <w:shd w:val="clear" w:color="auto" w:fill="FFFFFF"/>
              </w:rPr>
            </w:pPr>
          </w:p>
        </w:tc>
      </w:tr>
      <w:tr w:rsidR="00FA0999" w:rsidRPr="00FA0999" w14:paraId="0C64F08F" w14:textId="77777777" w:rsidTr="006A7C4C">
        <w:tc>
          <w:tcPr>
            <w:tcW w:w="2835" w:type="dxa"/>
            <w:vAlign w:val="center"/>
          </w:tcPr>
          <w:p w14:paraId="63DC134A" w14:textId="77777777" w:rsidR="00FA0999" w:rsidRPr="00FA0999" w:rsidRDefault="00E14D9C" w:rsidP="00FA0999">
            <w:pPr>
              <w:tabs>
                <w:tab w:val="left" w:pos="851"/>
              </w:tabs>
              <w:rPr>
                <w:color w:val="212529"/>
                <w:sz w:val="24"/>
                <w:szCs w:val="24"/>
                <w:shd w:val="clear" w:color="auto" w:fill="FFFFFF"/>
              </w:rPr>
            </w:pPr>
            <w:r>
              <w:rPr>
                <w:rFonts w:eastAsia="Calibri"/>
                <w:spacing w:val="2"/>
                <w:sz w:val="24"/>
                <w:szCs w:val="24"/>
              </w:rPr>
              <w:t>Rietavo</w:t>
            </w:r>
            <w:r w:rsidR="00FA0999" w:rsidRPr="00FA0999">
              <w:rPr>
                <w:rFonts w:eastAsia="Calibri"/>
                <w:spacing w:val="2"/>
                <w:sz w:val="24"/>
                <w:szCs w:val="24"/>
              </w:rPr>
              <w:t xml:space="preserve"> savivaldybės meras</w:t>
            </w:r>
          </w:p>
        </w:tc>
        <w:tc>
          <w:tcPr>
            <w:tcW w:w="2694" w:type="dxa"/>
            <w:tcBorders>
              <w:bottom w:val="single" w:sz="4" w:space="0" w:color="auto"/>
            </w:tcBorders>
            <w:vAlign w:val="center"/>
          </w:tcPr>
          <w:p w14:paraId="0CDCEBCE" w14:textId="77777777" w:rsidR="00FA0999" w:rsidRPr="00FA0999" w:rsidRDefault="00FA0999" w:rsidP="00FA0999">
            <w:pPr>
              <w:tabs>
                <w:tab w:val="left" w:pos="851"/>
              </w:tabs>
              <w:jc w:val="center"/>
              <w:rPr>
                <w:color w:val="212529"/>
                <w:sz w:val="24"/>
                <w:szCs w:val="24"/>
                <w:shd w:val="clear" w:color="auto" w:fill="FFFFFF"/>
              </w:rPr>
            </w:pPr>
          </w:p>
        </w:tc>
        <w:tc>
          <w:tcPr>
            <w:tcW w:w="2693" w:type="dxa"/>
            <w:vAlign w:val="center"/>
          </w:tcPr>
          <w:p w14:paraId="124F0339" w14:textId="77777777" w:rsidR="00FA0999" w:rsidRPr="00FA0999" w:rsidRDefault="00E14D9C" w:rsidP="00FA0999">
            <w:pPr>
              <w:tabs>
                <w:tab w:val="left" w:pos="851"/>
              </w:tabs>
              <w:jc w:val="center"/>
              <w:rPr>
                <w:color w:val="212529"/>
                <w:sz w:val="24"/>
                <w:szCs w:val="24"/>
                <w:shd w:val="clear" w:color="auto" w:fill="FFFFFF"/>
              </w:rPr>
            </w:pPr>
            <w:r>
              <w:rPr>
                <w:rFonts w:eastAsia="Calibri"/>
                <w:spacing w:val="2"/>
                <w:sz w:val="24"/>
                <w:szCs w:val="24"/>
              </w:rPr>
              <w:t xml:space="preserve">Antanas </w:t>
            </w:r>
            <w:proofErr w:type="spellStart"/>
            <w:r>
              <w:rPr>
                <w:rFonts w:eastAsia="Calibri"/>
                <w:spacing w:val="2"/>
                <w:sz w:val="24"/>
                <w:szCs w:val="24"/>
              </w:rPr>
              <w:t>Černeckis</w:t>
            </w:r>
            <w:proofErr w:type="spellEnd"/>
          </w:p>
        </w:tc>
        <w:tc>
          <w:tcPr>
            <w:tcW w:w="1559" w:type="dxa"/>
            <w:tcBorders>
              <w:bottom w:val="single" w:sz="4" w:space="0" w:color="auto"/>
            </w:tcBorders>
            <w:vAlign w:val="center"/>
          </w:tcPr>
          <w:p w14:paraId="7C3B5CD2" w14:textId="77777777" w:rsidR="00FA0999" w:rsidRPr="00FA0999" w:rsidRDefault="00787BFF" w:rsidP="00FA0999">
            <w:pPr>
              <w:tabs>
                <w:tab w:val="left" w:pos="851"/>
              </w:tabs>
              <w:jc w:val="center"/>
              <w:rPr>
                <w:color w:val="212529"/>
                <w:sz w:val="24"/>
                <w:szCs w:val="24"/>
                <w:shd w:val="clear" w:color="auto" w:fill="FFFFFF"/>
              </w:rPr>
            </w:pPr>
            <w:r w:rsidRPr="00787BFF">
              <w:rPr>
                <w:color w:val="212529"/>
                <w:sz w:val="24"/>
                <w:szCs w:val="24"/>
                <w:shd w:val="clear" w:color="auto" w:fill="FFFFFF"/>
                <w:lang w:val="en-US"/>
              </w:rPr>
              <w:t>2024-06-26</w:t>
            </w:r>
          </w:p>
        </w:tc>
      </w:tr>
      <w:tr w:rsidR="00FA0999" w:rsidRPr="00FA0999" w14:paraId="42841997" w14:textId="77777777" w:rsidTr="006A7C4C">
        <w:tc>
          <w:tcPr>
            <w:tcW w:w="2835" w:type="dxa"/>
            <w:vAlign w:val="center"/>
          </w:tcPr>
          <w:p w14:paraId="176D52A0" w14:textId="77777777" w:rsidR="00FA0999" w:rsidRPr="00FA0999" w:rsidRDefault="00FA0999" w:rsidP="00FA0999">
            <w:pPr>
              <w:tabs>
                <w:tab w:val="left" w:pos="851"/>
              </w:tabs>
              <w:rPr>
                <w:rFonts w:eastAsia="Calibri"/>
                <w:spacing w:val="2"/>
                <w:sz w:val="24"/>
                <w:szCs w:val="24"/>
              </w:rPr>
            </w:pPr>
          </w:p>
        </w:tc>
        <w:tc>
          <w:tcPr>
            <w:tcW w:w="2694" w:type="dxa"/>
            <w:tcBorders>
              <w:top w:val="single" w:sz="4" w:space="0" w:color="auto"/>
            </w:tcBorders>
            <w:vAlign w:val="center"/>
          </w:tcPr>
          <w:p w14:paraId="58079233" w14:textId="77777777" w:rsidR="00FA0999" w:rsidRPr="00FA0999" w:rsidRDefault="00FA0999" w:rsidP="00FA0999">
            <w:pPr>
              <w:tabs>
                <w:tab w:val="left" w:pos="851"/>
              </w:tabs>
              <w:jc w:val="center"/>
              <w:rPr>
                <w:color w:val="212529"/>
                <w:sz w:val="24"/>
                <w:szCs w:val="24"/>
                <w:shd w:val="clear" w:color="auto" w:fill="FFFFFF"/>
              </w:rPr>
            </w:pPr>
            <w:r w:rsidRPr="00FA0999">
              <w:rPr>
                <w:rFonts w:eastAsia="Calibri"/>
                <w:i/>
                <w:spacing w:val="2"/>
                <w:sz w:val="24"/>
                <w:szCs w:val="24"/>
              </w:rPr>
              <w:t>(parašas)</w:t>
            </w:r>
          </w:p>
        </w:tc>
        <w:tc>
          <w:tcPr>
            <w:tcW w:w="2693" w:type="dxa"/>
            <w:vAlign w:val="center"/>
          </w:tcPr>
          <w:p w14:paraId="358092B5" w14:textId="77777777" w:rsidR="00FA0999" w:rsidRPr="00FA0999" w:rsidRDefault="00FA0999" w:rsidP="00FA0999">
            <w:pPr>
              <w:tabs>
                <w:tab w:val="left" w:pos="851"/>
              </w:tabs>
              <w:jc w:val="center"/>
              <w:rPr>
                <w:color w:val="212529"/>
                <w:sz w:val="24"/>
                <w:szCs w:val="24"/>
                <w:shd w:val="clear" w:color="auto" w:fill="FFFFFF"/>
              </w:rPr>
            </w:pPr>
          </w:p>
        </w:tc>
        <w:tc>
          <w:tcPr>
            <w:tcW w:w="1559" w:type="dxa"/>
            <w:tcBorders>
              <w:top w:val="single" w:sz="4" w:space="0" w:color="auto"/>
            </w:tcBorders>
            <w:vAlign w:val="center"/>
          </w:tcPr>
          <w:p w14:paraId="2088FDFA" w14:textId="77777777" w:rsidR="00FA0999" w:rsidRPr="00FA0999" w:rsidRDefault="00FA0999" w:rsidP="00FA0999">
            <w:pPr>
              <w:tabs>
                <w:tab w:val="left" w:pos="851"/>
              </w:tabs>
              <w:jc w:val="center"/>
              <w:rPr>
                <w:color w:val="212529"/>
                <w:sz w:val="24"/>
                <w:szCs w:val="24"/>
                <w:shd w:val="clear" w:color="auto" w:fill="FFFFFF"/>
              </w:rPr>
            </w:pPr>
            <w:r w:rsidRPr="00FA0999">
              <w:rPr>
                <w:rFonts w:eastAsia="Calibri"/>
                <w:i/>
                <w:spacing w:val="2"/>
                <w:sz w:val="24"/>
                <w:szCs w:val="24"/>
              </w:rPr>
              <w:t>(data)</w:t>
            </w:r>
          </w:p>
        </w:tc>
      </w:tr>
      <w:tr w:rsidR="00FA0999" w:rsidRPr="00FA0999" w14:paraId="1B039682" w14:textId="77777777" w:rsidTr="006A7C4C">
        <w:tc>
          <w:tcPr>
            <w:tcW w:w="2835" w:type="dxa"/>
            <w:vAlign w:val="center"/>
          </w:tcPr>
          <w:p w14:paraId="60D6916B" w14:textId="77777777" w:rsidR="00FA0999" w:rsidRPr="00FA0999" w:rsidRDefault="00FA0999" w:rsidP="00FA0999">
            <w:pPr>
              <w:tabs>
                <w:tab w:val="left" w:pos="851"/>
              </w:tabs>
              <w:rPr>
                <w:rFonts w:eastAsia="Calibri"/>
                <w:spacing w:val="2"/>
                <w:sz w:val="24"/>
                <w:szCs w:val="24"/>
              </w:rPr>
            </w:pPr>
          </w:p>
        </w:tc>
        <w:tc>
          <w:tcPr>
            <w:tcW w:w="2694" w:type="dxa"/>
            <w:vAlign w:val="center"/>
          </w:tcPr>
          <w:p w14:paraId="22958E5D" w14:textId="77777777" w:rsidR="00FA0999" w:rsidRPr="00FA0999" w:rsidRDefault="00FA0999" w:rsidP="00FA0999">
            <w:pPr>
              <w:tabs>
                <w:tab w:val="left" w:pos="851"/>
              </w:tabs>
              <w:jc w:val="center"/>
              <w:rPr>
                <w:color w:val="212529"/>
                <w:sz w:val="24"/>
                <w:szCs w:val="24"/>
                <w:shd w:val="clear" w:color="auto" w:fill="FFFFFF"/>
              </w:rPr>
            </w:pPr>
          </w:p>
        </w:tc>
        <w:tc>
          <w:tcPr>
            <w:tcW w:w="2693" w:type="dxa"/>
            <w:vAlign w:val="center"/>
          </w:tcPr>
          <w:p w14:paraId="5E834D1E" w14:textId="77777777" w:rsidR="00FA0999" w:rsidRPr="00FA0999" w:rsidRDefault="00FA0999" w:rsidP="00FA0999">
            <w:pPr>
              <w:tabs>
                <w:tab w:val="left" w:pos="851"/>
              </w:tabs>
              <w:jc w:val="center"/>
              <w:rPr>
                <w:color w:val="212529"/>
                <w:sz w:val="24"/>
                <w:szCs w:val="24"/>
                <w:shd w:val="clear" w:color="auto" w:fill="FFFFFF"/>
              </w:rPr>
            </w:pPr>
          </w:p>
        </w:tc>
        <w:tc>
          <w:tcPr>
            <w:tcW w:w="1559" w:type="dxa"/>
            <w:vAlign w:val="center"/>
          </w:tcPr>
          <w:p w14:paraId="6E324EBD" w14:textId="77777777" w:rsidR="00FA0999" w:rsidRPr="00FA0999" w:rsidRDefault="00FA0999" w:rsidP="00FA0999">
            <w:pPr>
              <w:tabs>
                <w:tab w:val="left" w:pos="851"/>
              </w:tabs>
              <w:jc w:val="center"/>
              <w:rPr>
                <w:color w:val="212529"/>
                <w:sz w:val="24"/>
                <w:szCs w:val="24"/>
                <w:shd w:val="clear" w:color="auto" w:fill="FFFFFF"/>
              </w:rPr>
            </w:pPr>
          </w:p>
        </w:tc>
      </w:tr>
      <w:tr w:rsidR="00FA0999" w:rsidRPr="00FA0999" w14:paraId="12E81032" w14:textId="77777777" w:rsidTr="006A7C4C">
        <w:tc>
          <w:tcPr>
            <w:tcW w:w="2835" w:type="dxa"/>
            <w:vAlign w:val="center"/>
          </w:tcPr>
          <w:p w14:paraId="73B1B7CA" w14:textId="77777777" w:rsidR="00FA0999" w:rsidRPr="00FA0999" w:rsidRDefault="00E14D9C" w:rsidP="00FA0999">
            <w:pPr>
              <w:tabs>
                <w:tab w:val="left" w:pos="851"/>
              </w:tabs>
              <w:rPr>
                <w:rFonts w:eastAsia="Calibri"/>
                <w:spacing w:val="2"/>
                <w:sz w:val="24"/>
                <w:szCs w:val="24"/>
              </w:rPr>
            </w:pPr>
            <w:r>
              <w:rPr>
                <w:rFonts w:eastAsia="Calibri"/>
                <w:spacing w:val="2"/>
                <w:sz w:val="24"/>
                <w:szCs w:val="24"/>
              </w:rPr>
              <w:t>Telšių</w:t>
            </w:r>
            <w:r w:rsidR="00FA0999" w:rsidRPr="00FA0999">
              <w:rPr>
                <w:rFonts w:eastAsia="Calibri"/>
                <w:spacing w:val="2"/>
                <w:sz w:val="24"/>
                <w:szCs w:val="24"/>
              </w:rPr>
              <w:t xml:space="preserve"> rajono savivaldybės meras</w:t>
            </w:r>
          </w:p>
        </w:tc>
        <w:tc>
          <w:tcPr>
            <w:tcW w:w="2694" w:type="dxa"/>
            <w:tcBorders>
              <w:bottom w:val="single" w:sz="4" w:space="0" w:color="auto"/>
            </w:tcBorders>
            <w:vAlign w:val="center"/>
          </w:tcPr>
          <w:p w14:paraId="03E4B3ED" w14:textId="77777777" w:rsidR="00FA0999" w:rsidRPr="00FA0999" w:rsidRDefault="00FA0999" w:rsidP="00FA0999">
            <w:pPr>
              <w:tabs>
                <w:tab w:val="left" w:pos="851"/>
              </w:tabs>
              <w:jc w:val="center"/>
              <w:rPr>
                <w:color w:val="212529"/>
                <w:sz w:val="24"/>
                <w:szCs w:val="24"/>
                <w:shd w:val="clear" w:color="auto" w:fill="FFFFFF"/>
              </w:rPr>
            </w:pPr>
          </w:p>
        </w:tc>
        <w:tc>
          <w:tcPr>
            <w:tcW w:w="2693" w:type="dxa"/>
            <w:vAlign w:val="center"/>
          </w:tcPr>
          <w:p w14:paraId="77D7422B" w14:textId="77777777" w:rsidR="00FA0999" w:rsidRPr="00FA0999" w:rsidRDefault="00E14D9C" w:rsidP="00FA0999">
            <w:pPr>
              <w:tabs>
                <w:tab w:val="left" w:pos="851"/>
              </w:tabs>
              <w:jc w:val="center"/>
              <w:rPr>
                <w:color w:val="212529"/>
                <w:sz w:val="24"/>
                <w:szCs w:val="24"/>
                <w:shd w:val="clear" w:color="auto" w:fill="FFFFFF"/>
              </w:rPr>
            </w:pPr>
            <w:r>
              <w:rPr>
                <w:rFonts w:eastAsia="Calibri"/>
                <w:spacing w:val="2"/>
                <w:sz w:val="24"/>
                <w:szCs w:val="24"/>
              </w:rPr>
              <w:t>Tomas Katkus</w:t>
            </w:r>
          </w:p>
        </w:tc>
        <w:tc>
          <w:tcPr>
            <w:tcW w:w="1559" w:type="dxa"/>
            <w:tcBorders>
              <w:bottom w:val="single" w:sz="4" w:space="0" w:color="auto"/>
            </w:tcBorders>
            <w:vAlign w:val="center"/>
          </w:tcPr>
          <w:p w14:paraId="181258DF" w14:textId="77777777" w:rsidR="00FA0999" w:rsidRPr="00FA0999" w:rsidRDefault="00787BFF" w:rsidP="00FA0999">
            <w:pPr>
              <w:tabs>
                <w:tab w:val="left" w:pos="851"/>
              </w:tabs>
              <w:jc w:val="center"/>
              <w:rPr>
                <w:color w:val="212529"/>
                <w:sz w:val="24"/>
                <w:szCs w:val="24"/>
                <w:shd w:val="clear" w:color="auto" w:fill="FFFFFF"/>
              </w:rPr>
            </w:pPr>
            <w:r w:rsidRPr="00787BFF">
              <w:rPr>
                <w:color w:val="212529"/>
                <w:sz w:val="24"/>
                <w:szCs w:val="24"/>
                <w:shd w:val="clear" w:color="auto" w:fill="FFFFFF"/>
                <w:lang w:val="en-US"/>
              </w:rPr>
              <w:t>2024-06-26</w:t>
            </w:r>
          </w:p>
        </w:tc>
      </w:tr>
      <w:tr w:rsidR="00FA0999" w:rsidRPr="00FA0999" w14:paraId="016B087B" w14:textId="77777777" w:rsidTr="006A7C4C">
        <w:tc>
          <w:tcPr>
            <w:tcW w:w="2835" w:type="dxa"/>
            <w:vAlign w:val="center"/>
          </w:tcPr>
          <w:p w14:paraId="6BC215F1" w14:textId="77777777" w:rsidR="00FA0999" w:rsidRPr="00FA0999" w:rsidRDefault="00FA0999" w:rsidP="00FA0999">
            <w:pPr>
              <w:tabs>
                <w:tab w:val="left" w:pos="851"/>
              </w:tabs>
              <w:rPr>
                <w:rFonts w:eastAsia="Calibri"/>
                <w:spacing w:val="2"/>
                <w:sz w:val="24"/>
                <w:szCs w:val="24"/>
              </w:rPr>
            </w:pPr>
          </w:p>
        </w:tc>
        <w:tc>
          <w:tcPr>
            <w:tcW w:w="2694" w:type="dxa"/>
            <w:tcBorders>
              <w:top w:val="single" w:sz="4" w:space="0" w:color="auto"/>
            </w:tcBorders>
            <w:vAlign w:val="center"/>
          </w:tcPr>
          <w:p w14:paraId="0FD0BF35" w14:textId="77777777" w:rsidR="00FA0999" w:rsidRPr="00FA0999" w:rsidRDefault="00FA0999" w:rsidP="00FA0999">
            <w:pPr>
              <w:tabs>
                <w:tab w:val="left" w:pos="851"/>
              </w:tabs>
              <w:jc w:val="center"/>
              <w:rPr>
                <w:color w:val="212529"/>
                <w:sz w:val="24"/>
                <w:szCs w:val="24"/>
                <w:shd w:val="clear" w:color="auto" w:fill="FFFFFF"/>
              </w:rPr>
            </w:pPr>
            <w:r w:rsidRPr="00FA0999">
              <w:rPr>
                <w:rFonts w:eastAsia="Calibri"/>
                <w:i/>
                <w:spacing w:val="2"/>
                <w:sz w:val="24"/>
                <w:szCs w:val="24"/>
              </w:rPr>
              <w:t>(parašas)</w:t>
            </w:r>
          </w:p>
        </w:tc>
        <w:tc>
          <w:tcPr>
            <w:tcW w:w="2693" w:type="dxa"/>
            <w:vAlign w:val="center"/>
          </w:tcPr>
          <w:p w14:paraId="56440315" w14:textId="77777777" w:rsidR="00FA0999" w:rsidRPr="00FA0999" w:rsidRDefault="00FA0999" w:rsidP="00FA0999">
            <w:pPr>
              <w:tabs>
                <w:tab w:val="left" w:pos="851"/>
              </w:tabs>
              <w:jc w:val="center"/>
              <w:rPr>
                <w:rFonts w:eastAsia="Calibri"/>
                <w:spacing w:val="2"/>
                <w:sz w:val="24"/>
                <w:szCs w:val="24"/>
              </w:rPr>
            </w:pPr>
          </w:p>
        </w:tc>
        <w:tc>
          <w:tcPr>
            <w:tcW w:w="1559" w:type="dxa"/>
            <w:tcBorders>
              <w:top w:val="single" w:sz="4" w:space="0" w:color="auto"/>
            </w:tcBorders>
            <w:vAlign w:val="center"/>
          </w:tcPr>
          <w:p w14:paraId="0A372AA1" w14:textId="77777777" w:rsidR="00FA0999" w:rsidRPr="00FA0999" w:rsidRDefault="00FA0999" w:rsidP="00FA0999">
            <w:pPr>
              <w:tabs>
                <w:tab w:val="left" w:pos="851"/>
              </w:tabs>
              <w:jc w:val="center"/>
              <w:rPr>
                <w:color w:val="212529"/>
                <w:sz w:val="24"/>
                <w:szCs w:val="24"/>
                <w:shd w:val="clear" w:color="auto" w:fill="FFFFFF"/>
              </w:rPr>
            </w:pPr>
            <w:r w:rsidRPr="00FA0999">
              <w:rPr>
                <w:rFonts w:eastAsia="Calibri"/>
                <w:i/>
                <w:spacing w:val="2"/>
                <w:sz w:val="24"/>
                <w:szCs w:val="24"/>
              </w:rPr>
              <w:t>(data)</w:t>
            </w:r>
          </w:p>
        </w:tc>
      </w:tr>
      <w:tr w:rsidR="00FA0999" w:rsidRPr="00FA0999" w14:paraId="2A61A966" w14:textId="77777777" w:rsidTr="006A7C4C">
        <w:tc>
          <w:tcPr>
            <w:tcW w:w="2835" w:type="dxa"/>
            <w:vAlign w:val="center"/>
          </w:tcPr>
          <w:p w14:paraId="02310DAF" w14:textId="77777777" w:rsidR="00FA0999" w:rsidRPr="00FA0999" w:rsidRDefault="00FA0999" w:rsidP="00FA0999">
            <w:pPr>
              <w:tabs>
                <w:tab w:val="left" w:pos="851"/>
              </w:tabs>
              <w:rPr>
                <w:rFonts w:eastAsia="Calibri"/>
                <w:spacing w:val="2"/>
                <w:sz w:val="24"/>
                <w:szCs w:val="24"/>
              </w:rPr>
            </w:pPr>
          </w:p>
        </w:tc>
        <w:tc>
          <w:tcPr>
            <w:tcW w:w="2694" w:type="dxa"/>
            <w:vAlign w:val="center"/>
          </w:tcPr>
          <w:p w14:paraId="2EE6B27E" w14:textId="77777777" w:rsidR="00FA0999" w:rsidRPr="00FA0999" w:rsidRDefault="00FA0999" w:rsidP="00FA0999">
            <w:pPr>
              <w:tabs>
                <w:tab w:val="left" w:pos="851"/>
              </w:tabs>
              <w:jc w:val="center"/>
              <w:rPr>
                <w:color w:val="212529"/>
                <w:sz w:val="24"/>
                <w:szCs w:val="24"/>
                <w:shd w:val="clear" w:color="auto" w:fill="FFFFFF"/>
              </w:rPr>
            </w:pPr>
          </w:p>
        </w:tc>
        <w:tc>
          <w:tcPr>
            <w:tcW w:w="2693" w:type="dxa"/>
            <w:vAlign w:val="center"/>
          </w:tcPr>
          <w:p w14:paraId="635A486C" w14:textId="77777777" w:rsidR="00FA0999" w:rsidRPr="00FA0999" w:rsidRDefault="00FA0999" w:rsidP="00FA0999">
            <w:pPr>
              <w:tabs>
                <w:tab w:val="left" w:pos="851"/>
              </w:tabs>
              <w:jc w:val="center"/>
              <w:rPr>
                <w:rFonts w:eastAsia="Calibri"/>
                <w:spacing w:val="2"/>
                <w:sz w:val="24"/>
                <w:szCs w:val="24"/>
              </w:rPr>
            </w:pPr>
          </w:p>
        </w:tc>
        <w:tc>
          <w:tcPr>
            <w:tcW w:w="1559" w:type="dxa"/>
            <w:vAlign w:val="center"/>
          </w:tcPr>
          <w:p w14:paraId="19995514" w14:textId="77777777" w:rsidR="00FA0999" w:rsidRPr="00FA0999" w:rsidRDefault="00FA0999" w:rsidP="00FA0999">
            <w:pPr>
              <w:tabs>
                <w:tab w:val="left" w:pos="851"/>
              </w:tabs>
              <w:jc w:val="center"/>
              <w:rPr>
                <w:color w:val="212529"/>
                <w:sz w:val="24"/>
                <w:szCs w:val="24"/>
                <w:shd w:val="clear" w:color="auto" w:fill="FFFFFF"/>
              </w:rPr>
            </w:pPr>
          </w:p>
        </w:tc>
      </w:tr>
    </w:tbl>
    <w:p w14:paraId="7FAC6C51" w14:textId="77777777" w:rsidR="00FA0999" w:rsidRPr="00FA0999" w:rsidRDefault="00FA0999" w:rsidP="00FA0999">
      <w:pPr>
        <w:spacing w:after="0" w:line="240" w:lineRule="auto"/>
        <w:rPr>
          <w:rFonts w:ascii="Times New Roman" w:eastAsia="Times New Roman" w:hAnsi="Times New Roman" w:cs="Times New Roman"/>
          <w:b/>
          <w:sz w:val="24"/>
          <w:szCs w:val="24"/>
          <w:lang w:val="lt-LT" w:eastAsia="lt-LT"/>
        </w:rPr>
      </w:pPr>
    </w:p>
    <w:p w14:paraId="14C45D75" w14:textId="77777777" w:rsidR="00FA0999" w:rsidRPr="00FA0999" w:rsidRDefault="00FA0999" w:rsidP="00FA0999">
      <w:pPr>
        <w:spacing w:after="0" w:line="240" w:lineRule="auto"/>
        <w:jc w:val="center"/>
        <w:rPr>
          <w:rFonts w:ascii="Times New Roman" w:eastAsia="Times New Roman" w:hAnsi="Times New Roman" w:cs="Times New Roman"/>
          <w:b/>
          <w:sz w:val="24"/>
          <w:szCs w:val="24"/>
          <w:lang w:val="lt-LT" w:eastAsia="lt-LT"/>
        </w:rPr>
      </w:pPr>
    </w:p>
    <w:p w14:paraId="4C42190F" w14:textId="77777777" w:rsidR="00FA0999" w:rsidRPr="00283891" w:rsidRDefault="00FA0999" w:rsidP="00E84ED4">
      <w:pPr>
        <w:spacing w:line="276" w:lineRule="auto"/>
        <w:rPr>
          <w:rFonts w:ascii="Times New Roman" w:hAnsi="Times New Roman" w:cs="Times New Roman"/>
          <w:sz w:val="24"/>
          <w:szCs w:val="24"/>
        </w:rPr>
      </w:pPr>
    </w:p>
    <w:sectPr w:rsidR="00FA0999" w:rsidRPr="002838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9E"/>
    <w:rsid w:val="0005389E"/>
    <w:rsid w:val="00127730"/>
    <w:rsid w:val="00132A2C"/>
    <w:rsid w:val="001443DC"/>
    <w:rsid w:val="001447FA"/>
    <w:rsid w:val="00177823"/>
    <w:rsid w:val="001C2EE6"/>
    <w:rsid w:val="001F2A2B"/>
    <w:rsid w:val="00210146"/>
    <w:rsid w:val="00283891"/>
    <w:rsid w:val="002F59A3"/>
    <w:rsid w:val="002F7923"/>
    <w:rsid w:val="00307C31"/>
    <w:rsid w:val="00330FB7"/>
    <w:rsid w:val="00362337"/>
    <w:rsid w:val="00383D89"/>
    <w:rsid w:val="00386277"/>
    <w:rsid w:val="003943AB"/>
    <w:rsid w:val="003B3340"/>
    <w:rsid w:val="003E0C7F"/>
    <w:rsid w:val="003E3167"/>
    <w:rsid w:val="003E4462"/>
    <w:rsid w:val="004230AC"/>
    <w:rsid w:val="00457178"/>
    <w:rsid w:val="004A700D"/>
    <w:rsid w:val="0055033C"/>
    <w:rsid w:val="00560B63"/>
    <w:rsid w:val="005A0ED2"/>
    <w:rsid w:val="0067749E"/>
    <w:rsid w:val="006A1327"/>
    <w:rsid w:val="006D4C51"/>
    <w:rsid w:val="00700576"/>
    <w:rsid w:val="00723C5A"/>
    <w:rsid w:val="00762B39"/>
    <w:rsid w:val="00775D44"/>
    <w:rsid w:val="007820B6"/>
    <w:rsid w:val="00785417"/>
    <w:rsid w:val="00787BFF"/>
    <w:rsid w:val="007A0752"/>
    <w:rsid w:val="007C26CF"/>
    <w:rsid w:val="007C7A3A"/>
    <w:rsid w:val="007D7ABA"/>
    <w:rsid w:val="00900704"/>
    <w:rsid w:val="00996DAB"/>
    <w:rsid w:val="009D7071"/>
    <w:rsid w:val="00A10673"/>
    <w:rsid w:val="00A61ECC"/>
    <w:rsid w:val="00A77FEC"/>
    <w:rsid w:val="00B0345D"/>
    <w:rsid w:val="00B228E6"/>
    <w:rsid w:val="00B45152"/>
    <w:rsid w:val="00B6704A"/>
    <w:rsid w:val="00BD5391"/>
    <w:rsid w:val="00C85B42"/>
    <w:rsid w:val="00C90ED0"/>
    <w:rsid w:val="00C95D1B"/>
    <w:rsid w:val="00D11B9E"/>
    <w:rsid w:val="00D314BA"/>
    <w:rsid w:val="00D616A5"/>
    <w:rsid w:val="00D72B6D"/>
    <w:rsid w:val="00DA0A91"/>
    <w:rsid w:val="00DA571C"/>
    <w:rsid w:val="00E051E2"/>
    <w:rsid w:val="00E14D9C"/>
    <w:rsid w:val="00E70E61"/>
    <w:rsid w:val="00E8036B"/>
    <w:rsid w:val="00E84ED4"/>
    <w:rsid w:val="00ED7FBD"/>
    <w:rsid w:val="00F26F32"/>
    <w:rsid w:val="00F9055F"/>
    <w:rsid w:val="00FA0999"/>
    <w:rsid w:val="00FC5527"/>
    <w:rsid w:val="00FE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062D8"/>
  <w15:chartTrackingRefBased/>
  <w15:docId w15:val="{F5D86654-B8C4-4DFD-874B-3B2577E6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8036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036B"/>
    <w:rPr>
      <w:rFonts w:ascii="Segoe UI" w:hAnsi="Segoe UI" w:cs="Segoe UI"/>
      <w:sz w:val="18"/>
      <w:szCs w:val="18"/>
    </w:rPr>
  </w:style>
  <w:style w:type="table" w:styleId="Lentelstinklelis">
    <w:name w:val="Table Grid"/>
    <w:basedOn w:val="prastojilentel"/>
    <w:uiPriority w:val="39"/>
    <w:rsid w:val="00FA099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42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3028</Words>
  <Characters>1727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Lenovo2</dc:creator>
  <cp:keywords/>
  <dc:description/>
  <cp:lastModifiedBy>Rasa Tamulevičiūtė</cp:lastModifiedBy>
  <cp:revision>2</cp:revision>
  <cp:lastPrinted>2024-04-18T07:39:00Z</cp:lastPrinted>
  <dcterms:created xsi:type="dcterms:W3CDTF">2024-07-22T07:23:00Z</dcterms:created>
  <dcterms:modified xsi:type="dcterms:W3CDTF">2024-07-22T07:23:00Z</dcterms:modified>
</cp:coreProperties>
</file>