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57CA7" w14:textId="557FD266" w:rsidR="000E7717" w:rsidRPr="00023B18" w:rsidRDefault="00CE1784" w:rsidP="00023B18">
      <w:pPr>
        <w:pStyle w:val="Title"/>
        <w:spacing w:after="120"/>
        <w:jc w:val="both"/>
        <w:rPr>
          <w:sz w:val="52"/>
          <w:szCs w:val="48"/>
          <w:lang w:val="en-US"/>
        </w:rPr>
      </w:pPr>
      <w:r w:rsidRPr="00023B18">
        <w:rPr>
          <w:sz w:val="52"/>
          <w:szCs w:val="48"/>
          <w:lang w:val="en-US"/>
        </w:rPr>
        <w:t xml:space="preserve">Measuring Citizen’s Satisfaction with key Government Services for Better Performance and Enhanced Trust </w:t>
      </w:r>
    </w:p>
    <w:p w14:paraId="52741559" w14:textId="5B49C7D2" w:rsidR="00CE1784" w:rsidRDefault="00CE1784" w:rsidP="00E94B1D">
      <w:pPr>
        <w:pStyle w:val="Title2"/>
        <w:rPr>
          <w:lang w:val="en-US"/>
        </w:rPr>
      </w:pPr>
      <w:r>
        <w:rPr>
          <w:lang w:val="en-US"/>
        </w:rPr>
        <w:t xml:space="preserve">Project Public Brief </w:t>
      </w:r>
    </w:p>
    <w:p w14:paraId="2F7726E6" w14:textId="22649186" w:rsidR="00CE1784" w:rsidRDefault="00CE1784" w:rsidP="00CE1784">
      <w:pPr>
        <w:jc w:val="right"/>
        <w:rPr>
          <w:lang w:val="en-US"/>
        </w:rPr>
      </w:pPr>
      <w:r>
        <w:rPr>
          <w:lang w:val="en-US"/>
        </w:rPr>
        <w:t xml:space="preserve">December 2025 </w:t>
      </w:r>
    </w:p>
    <w:p w14:paraId="45437375" w14:textId="77777777" w:rsidR="00CE1784" w:rsidRDefault="00CE1784" w:rsidP="00CE1784">
      <w:pPr>
        <w:rPr>
          <w:lang w:val="en-US"/>
        </w:rPr>
      </w:pPr>
    </w:p>
    <w:p w14:paraId="7429D404" w14:textId="443B3CE9" w:rsidR="00CE1784" w:rsidRDefault="00CE1784" w:rsidP="00E94B1D">
      <w:pPr>
        <w:pStyle w:val="Heading2"/>
        <w:rPr>
          <w:lang w:val="en-US"/>
        </w:rPr>
      </w:pPr>
      <w:r>
        <w:rPr>
          <w:lang w:val="en-US"/>
        </w:rPr>
        <w:t xml:space="preserve">Context </w:t>
      </w:r>
    </w:p>
    <w:p w14:paraId="5058067D" w14:textId="77777777" w:rsidR="00CE1784" w:rsidRDefault="00CE1784" w:rsidP="00CE1784">
      <w:pPr>
        <w:pStyle w:val="Para0"/>
        <w:rPr>
          <w:lang w:val="en-US"/>
        </w:rPr>
      </w:pPr>
      <w:r>
        <w:rPr>
          <w:lang w:val="en-US"/>
        </w:rPr>
        <w:t xml:space="preserve">Governments operate in a challenging environment </w:t>
      </w:r>
      <w:proofErr w:type="spellStart"/>
      <w:r>
        <w:rPr>
          <w:lang w:val="en-US"/>
        </w:rPr>
        <w:t>characterised</w:t>
      </w:r>
      <w:proofErr w:type="spellEnd"/>
      <w:r>
        <w:rPr>
          <w:lang w:val="en-US"/>
        </w:rPr>
        <w:t xml:space="preserve"> by geopolitical conflicts, social and economic transitions, and environmental crises – all of which contribute to significant fiscal pressures on governments. Public administrations need to adapt and respond quickly to challenges, preparing the green and digital transitions to enhance governments’ resilience and improve responsiveness to citizens and business’ needs. Public administrations in EU Member States are working on addressing these challenges through national reforms and EU-supported mechanisms such as the National Recovery and Resilience Plans. Measures under these plans aim to contribute to increasing the efficiency and transparency of public services, reducing the administrative burden of accessing public services and improving the quality of life of citizens and businesses. To fully seize the benefit of these transformations, public administrations need to continuously change and adapt the way they design and deliver public services to become more human centric and effective. </w:t>
      </w:r>
      <w:r w:rsidRPr="00F90603">
        <w:rPr>
          <w:lang w:val="en-US"/>
        </w:rPr>
        <w:t xml:space="preserve"> </w:t>
      </w:r>
    </w:p>
    <w:p w14:paraId="5BFDD41B" w14:textId="77777777" w:rsidR="00CE1784" w:rsidRPr="004669DD" w:rsidRDefault="00CE1784" w:rsidP="00CE1784">
      <w:pPr>
        <w:pStyle w:val="Para0"/>
        <w:rPr>
          <w:lang w:val="en-US"/>
        </w:rPr>
      </w:pPr>
      <w:r w:rsidRPr="004669DD">
        <w:rPr>
          <w:lang w:val="en-US"/>
        </w:rPr>
        <w:t xml:space="preserve">The </w:t>
      </w:r>
      <w:r w:rsidRPr="00BC798A">
        <w:rPr>
          <w:i/>
          <w:iCs/>
          <w:lang w:val="en-US"/>
        </w:rPr>
        <w:t>OECD Recommendation of the Council on Human-</w:t>
      </w:r>
      <w:proofErr w:type="spellStart"/>
      <w:r w:rsidRPr="00BC798A">
        <w:rPr>
          <w:i/>
          <w:iCs/>
          <w:lang w:val="en-US"/>
        </w:rPr>
        <w:t>Centred</w:t>
      </w:r>
      <w:proofErr w:type="spellEnd"/>
      <w:r w:rsidRPr="00BC798A">
        <w:rPr>
          <w:i/>
          <w:iCs/>
          <w:lang w:val="en-US"/>
        </w:rPr>
        <w:t xml:space="preserve"> Public Administration Services</w:t>
      </w:r>
      <w:r w:rsidRPr="004669DD">
        <w:rPr>
          <w:lang w:val="en-US"/>
        </w:rPr>
        <w:t>, adopted in 2024, recognizes that high-quality public administrative services are essential for governments to achieve socio-economic objectives, including economic growth, inclusion and wellbeing, the green transition, and upholding the rule of law</w:t>
      </w:r>
      <w:r>
        <w:rPr>
          <w:lang w:val="en-US"/>
        </w:rPr>
        <w:t xml:space="preserve">. The Recommendation </w:t>
      </w:r>
      <w:proofErr w:type="spellStart"/>
      <w:r>
        <w:rPr>
          <w:lang w:val="en-US"/>
        </w:rPr>
        <w:t>emphasises</w:t>
      </w:r>
      <w:proofErr w:type="spellEnd"/>
      <w:r w:rsidRPr="004669DD">
        <w:rPr>
          <w:lang w:val="en-US"/>
        </w:rPr>
        <w:t xml:space="preserve"> that governments rely on well-functioning services to deliver public policies, improve wellbeing, and to communicate, engage with and empower the public. The Recommendation highlights the important of considering users’ needs when improving public administrative services, with expectations and convenience taking priority over existing government policies, organizational silos, internal procedures or legacy IT systems. </w:t>
      </w:r>
    </w:p>
    <w:p w14:paraId="33BF02D3" w14:textId="77777777" w:rsidR="00CE1784" w:rsidRDefault="00CE1784" w:rsidP="00CE1784">
      <w:pPr>
        <w:pStyle w:val="Para0"/>
        <w:rPr>
          <w:lang w:val="en-US"/>
        </w:rPr>
      </w:pPr>
      <w:r>
        <w:rPr>
          <w:lang w:val="en-US"/>
        </w:rPr>
        <w:t xml:space="preserve">Within this context, the </w:t>
      </w:r>
      <w:r w:rsidRPr="00B0649E">
        <w:rPr>
          <w:i/>
          <w:iCs/>
          <w:lang w:val="en-US"/>
        </w:rPr>
        <w:t>OECD Survey on the Drivers of Trust in Public Institutions</w:t>
      </w:r>
      <w:r>
        <w:rPr>
          <w:lang w:val="en-US"/>
        </w:rPr>
        <w:t xml:space="preserve"> </w:t>
      </w:r>
      <w:sdt>
        <w:sdtPr>
          <w:rPr>
            <w:lang w:val="en-US"/>
          </w:rPr>
          <w:id w:val="1651170918"/>
          <w:citation/>
        </w:sdtPr>
        <w:sdtEndPr/>
        <w:sdtContent>
          <w:r>
            <w:rPr>
              <w:lang w:val="en-US"/>
            </w:rPr>
            <w:fldChar w:fldCharType="begin"/>
          </w:r>
          <w:r>
            <w:rPr>
              <w:lang w:val="en-US"/>
            </w:rPr>
            <w:instrText xml:space="preserve"> CITATION Kapp_9a20554b \l 2057 </w:instrText>
          </w:r>
          <w:r>
            <w:rPr>
              <w:lang w:val="en-US"/>
            </w:rPr>
            <w:fldChar w:fldCharType="separate"/>
          </w:r>
          <w:r>
            <w:rPr>
              <w:noProof/>
              <w:lang w:val="en-US"/>
            </w:rPr>
            <w:t>(OECD, 2024</w:t>
          </w:r>
          <w:r>
            <w:rPr>
              <w:noProof/>
              <w:vertAlign w:val="subscript"/>
              <w:lang w:val="en-US"/>
            </w:rPr>
            <w:t>[1]</w:t>
          </w:r>
          <w:r>
            <w:rPr>
              <w:noProof/>
              <w:lang w:val="en-US"/>
            </w:rPr>
            <w:t>)</w:t>
          </w:r>
          <w:r>
            <w:rPr>
              <w:lang w:val="en-US"/>
            </w:rPr>
            <w:fldChar w:fldCharType="end"/>
          </w:r>
        </w:sdtContent>
      </w:sdt>
      <w:r>
        <w:rPr>
          <w:lang w:val="en-US"/>
        </w:rPr>
        <w:t xml:space="preserve"> has found that satisfaction with public services, together with the perception of public sector innovation and public services’ responsiveness to people’s feedback are important drivers of trust in the national government and civil service. By integrating user feedback into a continuous service improvement cycle governments can become more responsive to citizen’s needs and expectations. This responsiveness, in turn, can lead to increased trust in government institutions. </w:t>
      </w:r>
    </w:p>
    <w:p w14:paraId="41DC2B86" w14:textId="77777777" w:rsidR="00CE1784" w:rsidRDefault="00CE1784" w:rsidP="00CE1784">
      <w:pPr>
        <w:pStyle w:val="Para0"/>
        <w:rPr>
          <w:lang w:val="en-US"/>
        </w:rPr>
      </w:pPr>
      <w:r>
        <w:rPr>
          <w:lang w:val="en-US"/>
        </w:rPr>
        <w:t xml:space="preserve">A key method for improving service delivery and making them more human-centered is the move towards the ‘Life Event’ approach. A Life Event refers to a change in the circumstances of a user which creates a need to use a public administrative service or services, and that may require coordination and integration between different service providers. While this approach is not new, the greater ongoing shift from </w:t>
      </w:r>
      <w:r>
        <w:rPr>
          <w:lang w:val="en-US"/>
        </w:rPr>
        <w:lastRenderedPageBreak/>
        <w:t>countries requires adapting pre-existing approaches to measuring satisfaction with services. Examining the level of satisfaction among users with Life Events can provide performance information to help governments increase user-centricity by replacing compartmentalized ‘</w:t>
      </w:r>
      <w:proofErr w:type="gramStart"/>
      <w:r>
        <w:rPr>
          <w:lang w:val="en-US"/>
        </w:rPr>
        <w:t>silos’</w:t>
      </w:r>
      <w:proofErr w:type="gramEnd"/>
      <w:r>
        <w:rPr>
          <w:lang w:val="en-US"/>
        </w:rPr>
        <w:t xml:space="preserve"> and beige tape with simpler processes. The Life Event has approach has been applied in some form to some public administrative services in 20 out of 28 OECD countries that responded to the OECD Serving Citizen’s Survey as of March 2025. </w:t>
      </w:r>
      <w:sdt>
        <w:sdtPr>
          <w:rPr>
            <w:lang w:val="en-US"/>
          </w:rPr>
          <w:id w:val="2004699709"/>
          <w:citation/>
        </w:sdtPr>
        <w:sdtEndPr/>
        <w:sdtContent>
          <w:r>
            <w:rPr>
              <w:lang w:val="en-US"/>
            </w:rPr>
            <w:fldChar w:fldCharType="begin"/>
          </w:r>
          <w:r>
            <w:rPr>
              <w:lang w:val="en-US"/>
            </w:rPr>
            <w:instrText xml:space="preserve"> CITATION Kapp_0efd0bcd \l 2057 </w:instrText>
          </w:r>
          <w:r>
            <w:rPr>
              <w:lang w:val="en-US"/>
            </w:rPr>
            <w:fldChar w:fldCharType="separate"/>
          </w:r>
          <w:r>
            <w:rPr>
              <w:noProof/>
              <w:lang w:val="en-US"/>
            </w:rPr>
            <w:t>(OECD, 2025</w:t>
          </w:r>
          <w:r>
            <w:rPr>
              <w:noProof/>
              <w:vertAlign w:val="subscript"/>
              <w:lang w:val="en-US"/>
            </w:rPr>
            <w:t>[2]</w:t>
          </w:r>
          <w:r>
            <w:rPr>
              <w:noProof/>
              <w:lang w:val="en-US"/>
            </w:rPr>
            <w:t>)</w:t>
          </w:r>
          <w:r>
            <w:rPr>
              <w:lang w:val="en-US"/>
            </w:rPr>
            <w:fldChar w:fldCharType="end"/>
          </w:r>
        </w:sdtContent>
      </w:sdt>
    </w:p>
    <w:p w14:paraId="67870CCE" w14:textId="4EA5F683" w:rsidR="00CE1784" w:rsidRPr="00501682" w:rsidRDefault="00CE1784" w:rsidP="00501682">
      <w:pPr>
        <w:pStyle w:val="Heading2"/>
        <w:rPr>
          <w:lang w:val="en-US"/>
        </w:rPr>
      </w:pPr>
      <w:r w:rsidRPr="00501682">
        <w:rPr>
          <w:lang w:val="en-US"/>
        </w:rPr>
        <w:t xml:space="preserve">Presentation of Beneficiary Authority </w:t>
      </w:r>
    </w:p>
    <w:p w14:paraId="7095B30C" w14:textId="77777777" w:rsidR="00CA4C71" w:rsidRDefault="00CE1784" w:rsidP="00CE1784">
      <w:pPr>
        <w:rPr>
          <w:sz w:val="20"/>
          <w:szCs w:val="20"/>
          <w:lang w:val="en-US"/>
        </w:rPr>
      </w:pPr>
      <w:r w:rsidRPr="00092BDA">
        <w:rPr>
          <w:sz w:val="20"/>
          <w:szCs w:val="20"/>
          <w:lang w:val="en-US"/>
        </w:rPr>
        <w:t xml:space="preserve">Austria, Croatia, Estonia, Finland, Greece, Ireland, Latvia, Lithuania, Slovenia and Spain (hereinafter the ‘beneficiary EU Member States’) requested support from the European Commission under the Technical Support Instrument. </w:t>
      </w:r>
    </w:p>
    <w:p w14:paraId="16F16A4A" w14:textId="0B3CE80B" w:rsidR="00CA4C71" w:rsidRDefault="00C00106" w:rsidP="00C00106">
      <w:pPr>
        <w:pStyle w:val="Caption"/>
      </w:pPr>
      <w:r>
        <w:t xml:space="preserve">Figure </w:t>
      </w:r>
      <w:r>
        <w:fldChar w:fldCharType="begin"/>
      </w:r>
      <w:r>
        <w:instrText xml:space="preserve"> SEQ Figure \* ARABIC </w:instrText>
      </w:r>
      <w:r>
        <w:fldChar w:fldCharType="separate"/>
      </w:r>
      <w:r w:rsidR="00BF6E6E">
        <w:rPr>
          <w:noProof/>
        </w:rPr>
        <w:t>1</w:t>
      </w:r>
      <w:r>
        <w:fldChar w:fldCharType="end"/>
      </w:r>
      <w:r>
        <w:t xml:space="preserve"> Coverage of EU Member States participating in TSI Project on Measuring Citizen Satisfaction </w:t>
      </w:r>
    </w:p>
    <w:p w14:paraId="14D7FB3A" w14:textId="3CCDA275" w:rsidR="00C00106" w:rsidRDefault="00C00106" w:rsidP="00687529">
      <w:pPr>
        <w:jc w:val="center"/>
        <w:rPr>
          <w:lang w:val="en-US"/>
        </w:rPr>
      </w:pPr>
      <w:r w:rsidRPr="004D00AB">
        <w:rPr>
          <w:noProof/>
        </w:rPr>
        <w:drawing>
          <wp:inline distT="0" distB="0" distL="0" distR="0" wp14:anchorId="37DE39CC" wp14:editId="635C1209">
            <wp:extent cx="4127211" cy="3749040"/>
            <wp:effectExtent l="0" t="0" r="6985" b="3810"/>
            <wp:docPr id="20464319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33646" cy="3754885"/>
                    </a:xfrm>
                    <a:prstGeom prst="rect">
                      <a:avLst/>
                    </a:prstGeom>
                    <a:noFill/>
                    <a:ln>
                      <a:noFill/>
                    </a:ln>
                  </pic:spPr>
                </pic:pic>
              </a:graphicData>
            </a:graphic>
          </wp:inline>
        </w:drawing>
      </w:r>
    </w:p>
    <w:p w14:paraId="4D2E1F97" w14:textId="77777777" w:rsidR="00F1090F" w:rsidRPr="00017945" w:rsidRDefault="00F1090F" w:rsidP="00F1090F">
      <w:pPr>
        <w:pStyle w:val="Sourcenotes"/>
        <w:rPr>
          <w:sz w:val="16"/>
          <w:szCs w:val="20"/>
          <w:lang w:val="en-US"/>
        </w:rPr>
      </w:pPr>
      <w:r w:rsidRPr="00017945">
        <w:rPr>
          <w:sz w:val="16"/>
          <w:szCs w:val="20"/>
          <w:lang w:val="en-US"/>
        </w:rPr>
        <w:t xml:space="preserve">Source: EC-OECD Project on Measuring Citizen’s Satisfaction with key Government Services </w:t>
      </w:r>
    </w:p>
    <w:p w14:paraId="1888691A" w14:textId="46875D84" w:rsidR="00CE1784" w:rsidRPr="00092BDA" w:rsidRDefault="00CE1784" w:rsidP="00CE1784">
      <w:pPr>
        <w:rPr>
          <w:sz w:val="20"/>
          <w:szCs w:val="20"/>
          <w:lang w:val="en-US"/>
        </w:rPr>
      </w:pPr>
      <w:r w:rsidRPr="00092BDA">
        <w:rPr>
          <w:sz w:val="20"/>
          <w:szCs w:val="20"/>
          <w:lang w:val="en-US"/>
        </w:rPr>
        <w:t xml:space="preserve">The national authorities that requested support and benefitted from the Project are: </w:t>
      </w:r>
    </w:p>
    <w:p w14:paraId="228A19E5" w14:textId="437B6DBC" w:rsidR="00CE1784" w:rsidRPr="00092BDA" w:rsidRDefault="00CE1784" w:rsidP="00CE1784">
      <w:pPr>
        <w:pStyle w:val="ListParagraph"/>
        <w:numPr>
          <w:ilvl w:val="0"/>
          <w:numId w:val="2"/>
        </w:numPr>
        <w:rPr>
          <w:sz w:val="20"/>
          <w:szCs w:val="20"/>
          <w:lang w:val="en-US"/>
        </w:rPr>
      </w:pPr>
      <w:r w:rsidRPr="00092BDA">
        <w:rPr>
          <w:b/>
          <w:bCs/>
          <w:sz w:val="20"/>
          <w:szCs w:val="20"/>
          <w:lang w:val="en-US"/>
        </w:rPr>
        <w:t xml:space="preserve">Austria </w:t>
      </w:r>
      <w:r w:rsidRPr="00092BDA">
        <w:rPr>
          <w:sz w:val="20"/>
          <w:szCs w:val="20"/>
          <w:lang w:val="en-US"/>
        </w:rPr>
        <w:t xml:space="preserve">- Federal Ministry for Arts, Culture, the Civil Service and Sport </w:t>
      </w:r>
      <w:r w:rsidR="00501682">
        <w:rPr>
          <w:sz w:val="20"/>
          <w:szCs w:val="20"/>
          <w:lang w:val="en-US"/>
        </w:rPr>
        <w:t>(</w:t>
      </w:r>
      <w:proofErr w:type="spellStart"/>
      <w:r w:rsidRPr="00687529">
        <w:rPr>
          <w:i/>
          <w:iCs/>
          <w:sz w:val="20"/>
          <w:szCs w:val="20"/>
          <w:lang w:val="en-US"/>
        </w:rPr>
        <w:t>Bundesministerium</w:t>
      </w:r>
      <w:proofErr w:type="spellEnd"/>
      <w:r w:rsidRPr="00687529">
        <w:rPr>
          <w:i/>
          <w:iCs/>
          <w:sz w:val="20"/>
          <w:szCs w:val="20"/>
          <w:lang w:val="en-US"/>
        </w:rPr>
        <w:t xml:space="preserve"> für Kunst, Kultur, </w:t>
      </w:r>
      <w:proofErr w:type="spellStart"/>
      <w:r w:rsidRPr="00687529">
        <w:rPr>
          <w:i/>
          <w:iCs/>
          <w:sz w:val="20"/>
          <w:szCs w:val="20"/>
          <w:lang w:val="en-US"/>
        </w:rPr>
        <w:t>öffentlichen</w:t>
      </w:r>
      <w:proofErr w:type="spellEnd"/>
      <w:r w:rsidRPr="00687529">
        <w:rPr>
          <w:i/>
          <w:iCs/>
          <w:sz w:val="20"/>
          <w:szCs w:val="20"/>
          <w:lang w:val="en-US"/>
        </w:rPr>
        <w:t xml:space="preserve"> Dienst und Sport</w:t>
      </w:r>
      <w:r w:rsidRPr="00092BDA">
        <w:rPr>
          <w:sz w:val="20"/>
          <w:szCs w:val="20"/>
          <w:lang w:val="en-US"/>
        </w:rPr>
        <w:t xml:space="preserve">) </w:t>
      </w:r>
    </w:p>
    <w:p w14:paraId="2710346B" w14:textId="1162CB20" w:rsidR="00CE1784" w:rsidRPr="006724C7" w:rsidRDefault="00CE1784" w:rsidP="00CE1784">
      <w:pPr>
        <w:pStyle w:val="ListParagraph"/>
        <w:numPr>
          <w:ilvl w:val="0"/>
          <w:numId w:val="2"/>
        </w:numPr>
        <w:rPr>
          <w:sz w:val="20"/>
          <w:szCs w:val="20"/>
          <w:lang w:val="en-US"/>
        </w:rPr>
      </w:pPr>
      <w:r w:rsidRPr="006724C7">
        <w:rPr>
          <w:b/>
          <w:bCs/>
          <w:sz w:val="20"/>
          <w:szCs w:val="20"/>
          <w:lang w:val="en-US"/>
        </w:rPr>
        <w:t xml:space="preserve">Croatia - </w:t>
      </w:r>
      <w:r w:rsidRPr="006724C7">
        <w:rPr>
          <w:sz w:val="20"/>
          <w:szCs w:val="20"/>
          <w:lang w:val="en-US"/>
        </w:rPr>
        <w:t>Ministry of Justice and Public Administration (</w:t>
      </w:r>
      <w:proofErr w:type="spellStart"/>
      <w:r w:rsidRPr="00687529">
        <w:rPr>
          <w:i/>
          <w:iCs/>
          <w:sz w:val="20"/>
          <w:szCs w:val="20"/>
          <w:lang w:val="en-US"/>
        </w:rPr>
        <w:t>Ministarstvo</w:t>
      </w:r>
      <w:proofErr w:type="spellEnd"/>
      <w:r w:rsidRPr="00687529">
        <w:rPr>
          <w:i/>
          <w:iCs/>
          <w:sz w:val="20"/>
          <w:szCs w:val="20"/>
          <w:lang w:val="en-US"/>
        </w:rPr>
        <w:t xml:space="preserve"> </w:t>
      </w:r>
      <w:proofErr w:type="spellStart"/>
      <w:r w:rsidRPr="00687529">
        <w:rPr>
          <w:i/>
          <w:iCs/>
          <w:sz w:val="20"/>
          <w:szCs w:val="20"/>
          <w:lang w:val="en-US"/>
        </w:rPr>
        <w:t>pravosuđa</w:t>
      </w:r>
      <w:proofErr w:type="spellEnd"/>
      <w:r w:rsidRPr="00687529">
        <w:rPr>
          <w:i/>
          <w:iCs/>
          <w:sz w:val="20"/>
          <w:szCs w:val="20"/>
          <w:lang w:val="en-US"/>
        </w:rPr>
        <w:t xml:space="preserve"> i </w:t>
      </w:r>
      <w:proofErr w:type="spellStart"/>
      <w:r w:rsidRPr="00687529">
        <w:rPr>
          <w:i/>
          <w:iCs/>
          <w:sz w:val="20"/>
          <w:szCs w:val="20"/>
          <w:lang w:val="en-US"/>
        </w:rPr>
        <w:t>uprave</w:t>
      </w:r>
      <w:proofErr w:type="spellEnd"/>
      <w:r w:rsidRPr="006724C7">
        <w:rPr>
          <w:sz w:val="20"/>
          <w:szCs w:val="20"/>
          <w:lang w:val="en-US"/>
        </w:rPr>
        <w:t xml:space="preserve">) </w:t>
      </w:r>
    </w:p>
    <w:p w14:paraId="33B7B8A0" w14:textId="3514E4AB" w:rsidR="00CE1784" w:rsidRPr="006724C7" w:rsidRDefault="00CE1784" w:rsidP="00CE1784">
      <w:pPr>
        <w:pStyle w:val="ListParagraph"/>
        <w:numPr>
          <w:ilvl w:val="0"/>
          <w:numId w:val="2"/>
        </w:numPr>
        <w:rPr>
          <w:sz w:val="20"/>
          <w:szCs w:val="20"/>
          <w:lang w:val="en-US"/>
        </w:rPr>
      </w:pPr>
      <w:r w:rsidRPr="006724C7">
        <w:rPr>
          <w:b/>
          <w:bCs/>
          <w:sz w:val="20"/>
          <w:szCs w:val="20"/>
          <w:lang w:val="en-US"/>
        </w:rPr>
        <w:t xml:space="preserve">Estonia </w:t>
      </w:r>
      <w:r w:rsidRPr="006724C7">
        <w:rPr>
          <w:sz w:val="20"/>
          <w:szCs w:val="20"/>
          <w:lang w:val="en-US"/>
        </w:rPr>
        <w:t xml:space="preserve">– Ministry of </w:t>
      </w:r>
      <w:r w:rsidR="00D70344" w:rsidRPr="006724C7">
        <w:rPr>
          <w:sz w:val="20"/>
          <w:szCs w:val="20"/>
          <w:lang w:val="en-US"/>
        </w:rPr>
        <w:t>Justice</w:t>
      </w:r>
      <w:r w:rsidRPr="006724C7">
        <w:rPr>
          <w:sz w:val="20"/>
          <w:szCs w:val="20"/>
          <w:lang w:val="en-US"/>
        </w:rPr>
        <w:t xml:space="preserve"> (</w:t>
      </w:r>
      <w:proofErr w:type="spellStart"/>
      <w:r w:rsidR="00426339" w:rsidRPr="00687529">
        <w:rPr>
          <w:i/>
          <w:iCs/>
          <w:sz w:val="20"/>
          <w:szCs w:val="20"/>
        </w:rPr>
        <w:t>Justiits</w:t>
      </w:r>
      <w:proofErr w:type="spellEnd"/>
      <w:r w:rsidR="00426339" w:rsidRPr="00687529">
        <w:rPr>
          <w:i/>
          <w:iCs/>
          <w:sz w:val="20"/>
          <w:szCs w:val="20"/>
        </w:rPr>
        <w:t xml:space="preserve">- </w:t>
      </w:r>
      <w:proofErr w:type="spellStart"/>
      <w:r w:rsidR="00426339" w:rsidRPr="00687529">
        <w:rPr>
          <w:i/>
          <w:iCs/>
          <w:sz w:val="20"/>
          <w:szCs w:val="20"/>
        </w:rPr>
        <w:t>ja</w:t>
      </w:r>
      <w:proofErr w:type="spellEnd"/>
      <w:r w:rsidR="00426339" w:rsidRPr="00687529">
        <w:rPr>
          <w:i/>
          <w:iCs/>
          <w:sz w:val="20"/>
          <w:szCs w:val="20"/>
        </w:rPr>
        <w:t xml:space="preserve"> </w:t>
      </w:r>
      <w:proofErr w:type="spellStart"/>
      <w:r w:rsidR="00426339" w:rsidRPr="00687529">
        <w:rPr>
          <w:i/>
          <w:iCs/>
          <w:sz w:val="20"/>
          <w:szCs w:val="20"/>
        </w:rPr>
        <w:t>Digiministeerium</w:t>
      </w:r>
      <w:proofErr w:type="spellEnd"/>
      <w:r w:rsidRPr="006724C7">
        <w:rPr>
          <w:sz w:val="20"/>
          <w:szCs w:val="20"/>
          <w:lang w:val="en-US"/>
        </w:rPr>
        <w:t xml:space="preserve">) </w:t>
      </w:r>
    </w:p>
    <w:p w14:paraId="2A329E1B" w14:textId="65AD4064" w:rsidR="00CE1784" w:rsidRPr="006724C7" w:rsidRDefault="00CE1784" w:rsidP="00D70344">
      <w:pPr>
        <w:pStyle w:val="ListParagraph"/>
        <w:numPr>
          <w:ilvl w:val="0"/>
          <w:numId w:val="2"/>
        </w:numPr>
        <w:rPr>
          <w:sz w:val="20"/>
          <w:szCs w:val="20"/>
          <w:lang w:val="en-US"/>
        </w:rPr>
      </w:pPr>
      <w:r w:rsidRPr="006724C7">
        <w:rPr>
          <w:b/>
          <w:bCs/>
          <w:sz w:val="20"/>
          <w:szCs w:val="20"/>
          <w:lang w:val="en-US"/>
        </w:rPr>
        <w:t xml:space="preserve">Finland - </w:t>
      </w:r>
      <w:r w:rsidRPr="006724C7">
        <w:rPr>
          <w:sz w:val="20"/>
          <w:szCs w:val="20"/>
          <w:lang w:val="en-US"/>
        </w:rPr>
        <w:t>Ministry of Finance (</w:t>
      </w:r>
      <w:proofErr w:type="spellStart"/>
      <w:r w:rsidRPr="00687529">
        <w:rPr>
          <w:i/>
          <w:iCs/>
          <w:sz w:val="20"/>
          <w:szCs w:val="20"/>
          <w:lang w:val="en-US"/>
        </w:rPr>
        <w:t>Valtiovarainministeriö</w:t>
      </w:r>
      <w:proofErr w:type="spellEnd"/>
      <w:r w:rsidRPr="006724C7">
        <w:rPr>
          <w:sz w:val="20"/>
          <w:szCs w:val="20"/>
          <w:lang w:val="en-US"/>
        </w:rPr>
        <w:t xml:space="preserve">) </w:t>
      </w:r>
    </w:p>
    <w:p w14:paraId="72E82C53" w14:textId="43B963DB" w:rsidR="00CE1784" w:rsidRPr="006724C7" w:rsidRDefault="00CE1784" w:rsidP="00CE1784">
      <w:pPr>
        <w:pStyle w:val="ListParagraph"/>
        <w:numPr>
          <w:ilvl w:val="0"/>
          <w:numId w:val="2"/>
        </w:numPr>
        <w:rPr>
          <w:sz w:val="20"/>
          <w:szCs w:val="20"/>
          <w:lang w:val="en-US"/>
        </w:rPr>
      </w:pPr>
      <w:r w:rsidRPr="006724C7">
        <w:rPr>
          <w:b/>
          <w:bCs/>
          <w:sz w:val="20"/>
          <w:szCs w:val="20"/>
          <w:lang w:val="en-US"/>
        </w:rPr>
        <w:lastRenderedPageBreak/>
        <w:t xml:space="preserve">Greece </w:t>
      </w:r>
      <w:r w:rsidRPr="006724C7">
        <w:rPr>
          <w:sz w:val="20"/>
          <w:szCs w:val="20"/>
          <w:lang w:val="en-US"/>
        </w:rPr>
        <w:t xml:space="preserve">– </w:t>
      </w:r>
      <w:r w:rsidR="00687529">
        <w:rPr>
          <w:sz w:val="20"/>
          <w:szCs w:val="20"/>
          <w:lang w:val="en-US"/>
        </w:rPr>
        <w:t xml:space="preserve">Hellenic </w:t>
      </w:r>
      <w:r w:rsidRPr="006724C7">
        <w:rPr>
          <w:sz w:val="20"/>
          <w:szCs w:val="20"/>
          <w:lang w:val="en-US"/>
        </w:rPr>
        <w:t xml:space="preserve">Ministry of Interior </w:t>
      </w:r>
      <w:r w:rsidR="006E2BAF">
        <w:rPr>
          <w:sz w:val="20"/>
          <w:szCs w:val="20"/>
          <w:lang w:val="en-US"/>
        </w:rPr>
        <w:t>(</w:t>
      </w:r>
      <w:r w:rsidR="006E2BAF" w:rsidRPr="006E2BAF">
        <w:rPr>
          <w:i/>
          <w:iCs/>
          <w:sz w:val="20"/>
          <w:szCs w:val="20"/>
          <w:lang w:val="en-US"/>
        </w:rPr>
        <w:t>Υπ</w:t>
      </w:r>
      <w:proofErr w:type="spellStart"/>
      <w:r w:rsidR="006E2BAF" w:rsidRPr="006E2BAF">
        <w:rPr>
          <w:i/>
          <w:iCs/>
          <w:sz w:val="20"/>
          <w:szCs w:val="20"/>
          <w:lang w:val="en-US"/>
        </w:rPr>
        <w:t>ουργείο</w:t>
      </w:r>
      <w:proofErr w:type="spellEnd"/>
      <w:r w:rsidR="006E2BAF" w:rsidRPr="006E2BAF">
        <w:rPr>
          <w:i/>
          <w:iCs/>
          <w:sz w:val="20"/>
          <w:szCs w:val="20"/>
          <w:lang w:val="en-US"/>
        </w:rPr>
        <w:t xml:space="preserve"> </w:t>
      </w:r>
      <w:proofErr w:type="spellStart"/>
      <w:r w:rsidR="006E2BAF" w:rsidRPr="006E2BAF">
        <w:rPr>
          <w:i/>
          <w:iCs/>
          <w:sz w:val="20"/>
          <w:szCs w:val="20"/>
          <w:lang w:val="en-US"/>
        </w:rPr>
        <w:t>Εσωτερικών</w:t>
      </w:r>
      <w:proofErr w:type="spellEnd"/>
      <w:r w:rsidR="006E2BAF">
        <w:rPr>
          <w:sz w:val="20"/>
          <w:szCs w:val="20"/>
          <w:lang w:val="en-US"/>
        </w:rPr>
        <w:t>)</w:t>
      </w:r>
    </w:p>
    <w:p w14:paraId="4FF96709" w14:textId="01D6E29B" w:rsidR="00CE1784" w:rsidRPr="006724C7" w:rsidRDefault="00CE1784" w:rsidP="00CE1784">
      <w:pPr>
        <w:pStyle w:val="ListParagraph"/>
        <w:numPr>
          <w:ilvl w:val="0"/>
          <w:numId w:val="2"/>
        </w:numPr>
        <w:rPr>
          <w:sz w:val="20"/>
          <w:szCs w:val="20"/>
          <w:lang w:val="en-US"/>
        </w:rPr>
      </w:pPr>
      <w:r w:rsidRPr="006724C7">
        <w:rPr>
          <w:b/>
          <w:bCs/>
          <w:sz w:val="20"/>
          <w:szCs w:val="20"/>
          <w:lang w:val="en-US"/>
        </w:rPr>
        <w:t xml:space="preserve">Ireland </w:t>
      </w:r>
      <w:r w:rsidRPr="006724C7">
        <w:rPr>
          <w:sz w:val="20"/>
          <w:szCs w:val="20"/>
          <w:lang w:val="en-US"/>
        </w:rPr>
        <w:t xml:space="preserve">- Department of Public Expenditure, </w:t>
      </w:r>
      <w:r w:rsidR="007A2CBC" w:rsidRPr="006724C7">
        <w:rPr>
          <w:sz w:val="20"/>
          <w:szCs w:val="20"/>
          <w:lang w:val="en-US"/>
        </w:rPr>
        <w:t xml:space="preserve">Infrastructure, Public Service Reform and </w:t>
      </w:r>
      <w:proofErr w:type="spellStart"/>
      <w:r w:rsidR="007A2CBC" w:rsidRPr="006724C7">
        <w:rPr>
          <w:sz w:val="20"/>
          <w:szCs w:val="20"/>
          <w:lang w:val="en-US"/>
        </w:rPr>
        <w:t>Digitalisation</w:t>
      </w:r>
      <w:proofErr w:type="spellEnd"/>
      <w:r w:rsidR="007A2CBC" w:rsidRPr="006724C7">
        <w:rPr>
          <w:sz w:val="20"/>
          <w:szCs w:val="20"/>
          <w:lang w:val="en-US"/>
        </w:rPr>
        <w:t xml:space="preserve"> </w:t>
      </w:r>
      <w:r w:rsidRPr="006724C7">
        <w:rPr>
          <w:sz w:val="20"/>
          <w:szCs w:val="20"/>
          <w:lang w:val="en-US"/>
        </w:rPr>
        <w:t>(</w:t>
      </w:r>
      <w:r w:rsidR="006724C7" w:rsidRPr="00BD0682">
        <w:rPr>
          <w:i/>
          <w:iCs/>
          <w:sz w:val="20"/>
          <w:szCs w:val="20"/>
          <w:lang w:val="en-US"/>
        </w:rPr>
        <w:t xml:space="preserve">An </w:t>
      </w:r>
      <w:proofErr w:type="spellStart"/>
      <w:r w:rsidR="006724C7" w:rsidRPr="00BD0682">
        <w:rPr>
          <w:i/>
          <w:iCs/>
          <w:sz w:val="20"/>
          <w:szCs w:val="20"/>
          <w:lang w:val="en-US"/>
        </w:rPr>
        <w:t>Roinn</w:t>
      </w:r>
      <w:proofErr w:type="spellEnd"/>
      <w:r w:rsidR="006724C7" w:rsidRPr="00BD0682">
        <w:rPr>
          <w:i/>
          <w:iCs/>
          <w:sz w:val="20"/>
          <w:szCs w:val="20"/>
          <w:lang w:val="en-US"/>
        </w:rPr>
        <w:t xml:space="preserve"> </w:t>
      </w:r>
      <w:proofErr w:type="spellStart"/>
      <w:r w:rsidR="006724C7" w:rsidRPr="00BD0682">
        <w:rPr>
          <w:i/>
          <w:iCs/>
          <w:sz w:val="20"/>
          <w:szCs w:val="20"/>
          <w:lang w:val="en-US"/>
        </w:rPr>
        <w:t>Caiteachais</w:t>
      </w:r>
      <w:proofErr w:type="spellEnd"/>
      <w:r w:rsidR="006724C7" w:rsidRPr="00BD0682">
        <w:rPr>
          <w:i/>
          <w:iCs/>
          <w:sz w:val="20"/>
          <w:szCs w:val="20"/>
          <w:lang w:val="en-US"/>
        </w:rPr>
        <w:t xml:space="preserve"> Phoiblí, </w:t>
      </w:r>
      <w:proofErr w:type="spellStart"/>
      <w:r w:rsidR="006724C7" w:rsidRPr="00BD0682">
        <w:rPr>
          <w:i/>
          <w:iCs/>
          <w:sz w:val="20"/>
          <w:szCs w:val="20"/>
          <w:lang w:val="en-US"/>
        </w:rPr>
        <w:t>Bonneagair</w:t>
      </w:r>
      <w:proofErr w:type="spellEnd"/>
      <w:r w:rsidR="006724C7" w:rsidRPr="00BD0682">
        <w:rPr>
          <w:i/>
          <w:iCs/>
          <w:sz w:val="20"/>
          <w:szCs w:val="20"/>
          <w:lang w:val="en-US"/>
        </w:rPr>
        <w:t xml:space="preserve">, </w:t>
      </w:r>
      <w:proofErr w:type="spellStart"/>
      <w:r w:rsidR="006724C7" w:rsidRPr="00BD0682">
        <w:rPr>
          <w:i/>
          <w:iCs/>
          <w:sz w:val="20"/>
          <w:szCs w:val="20"/>
          <w:lang w:val="en-US"/>
        </w:rPr>
        <w:t>Athchóiriúcháin</w:t>
      </w:r>
      <w:proofErr w:type="spellEnd"/>
      <w:r w:rsidR="006724C7" w:rsidRPr="00BD0682">
        <w:rPr>
          <w:i/>
          <w:iCs/>
          <w:sz w:val="20"/>
          <w:szCs w:val="20"/>
          <w:lang w:val="en-US"/>
        </w:rPr>
        <w:t xml:space="preserve"> </w:t>
      </w:r>
      <w:proofErr w:type="spellStart"/>
      <w:r w:rsidR="006724C7" w:rsidRPr="00BD0682">
        <w:rPr>
          <w:i/>
          <w:iCs/>
          <w:sz w:val="20"/>
          <w:szCs w:val="20"/>
          <w:lang w:val="en-US"/>
        </w:rPr>
        <w:t>Seirbhíse</w:t>
      </w:r>
      <w:proofErr w:type="spellEnd"/>
      <w:r w:rsidR="006724C7" w:rsidRPr="00BD0682">
        <w:rPr>
          <w:i/>
          <w:iCs/>
          <w:sz w:val="20"/>
          <w:szCs w:val="20"/>
          <w:lang w:val="en-US"/>
        </w:rPr>
        <w:t xml:space="preserve"> </w:t>
      </w:r>
      <w:proofErr w:type="spellStart"/>
      <w:r w:rsidR="006724C7" w:rsidRPr="00BD0682">
        <w:rPr>
          <w:i/>
          <w:iCs/>
          <w:sz w:val="20"/>
          <w:szCs w:val="20"/>
          <w:lang w:val="en-US"/>
        </w:rPr>
        <w:t>Poiblí</w:t>
      </w:r>
      <w:proofErr w:type="spellEnd"/>
      <w:r w:rsidR="006724C7" w:rsidRPr="00BD0682">
        <w:rPr>
          <w:i/>
          <w:iCs/>
          <w:sz w:val="20"/>
          <w:szCs w:val="20"/>
          <w:lang w:val="en-US"/>
        </w:rPr>
        <w:t xml:space="preserve"> </w:t>
      </w:r>
      <w:proofErr w:type="spellStart"/>
      <w:r w:rsidR="006724C7" w:rsidRPr="00BD0682">
        <w:rPr>
          <w:i/>
          <w:iCs/>
          <w:sz w:val="20"/>
          <w:szCs w:val="20"/>
          <w:lang w:val="en-US"/>
        </w:rPr>
        <w:t>agus</w:t>
      </w:r>
      <w:proofErr w:type="spellEnd"/>
      <w:r w:rsidR="006724C7" w:rsidRPr="00BD0682">
        <w:rPr>
          <w:i/>
          <w:iCs/>
          <w:sz w:val="20"/>
          <w:szCs w:val="20"/>
          <w:lang w:val="en-US"/>
        </w:rPr>
        <w:t xml:space="preserve"> </w:t>
      </w:r>
      <w:proofErr w:type="spellStart"/>
      <w:r w:rsidR="006724C7" w:rsidRPr="00BD0682">
        <w:rPr>
          <w:i/>
          <w:iCs/>
          <w:sz w:val="20"/>
          <w:szCs w:val="20"/>
          <w:lang w:val="en-US"/>
        </w:rPr>
        <w:t>Digitiúcháin</w:t>
      </w:r>
      <w:proofErr w:type="spellEnd"/>
      <w:r w:rsidRPr="006724C7">
        <w:rPr>
          <w:sz w:val="20"/>
          <w:szCs w:val="20"/>
          <w:lang w:val="en-US"/>
        </w:rPr>
        <w:t xml:space="preserve">) </w:t>
      </w:r>
    </w:p>
    <w:p w14:paraId="2DF299EA" w14:textId="35CC7DF5" w:rsidR="00CE1784" w:rsidRPr="00092BDA" w:rsidRDefault="00CE1784" w:rsidP="00CE1784">
      <w:pPr>
        <w:pStyle w:val="ListParagraph"/>
        <w:numPr>
          <w:ilvl w:val="0"/>
          <w:numId w:val="2"/>
        </w:numPr>
        <w:rPr>
          <w:sz w:val="20"/>
          <w:szCs w:val="20"/>
          <w:lang w:val="en-US"/>
        </w:rPr>
      </w:pPr>
      <w:r w:rsidRPr="00092BDA">
        <w:rPr>
          <w:b/>
          <w:bCs/>
          <w:sz w:val="20"/>
          <w:szCs w:val="20"/>
          <w:lang w:val="en-US"/>
        </w:rPr>
        <w:t xml:space="preserve">Latvia </w:t>
      </w:r>
      <w:r w:rsidRPr="00092BDA">
        <w:rPr>
          <w:sz w:val="20"/>
          <w:szCs w:val="20"/>
          <w:lang w:val="en-US"/>
        </w:rPr>
        <w:t>- Ministry of Environmental Protection and Regional Development (</w:t>
      </w:r>
      <w:r w:rsidRPr="00BD0682">
        <w:rPr>
          <w:i/>
          <w:iCs/>
          <w:sz w:val="20"/>
          <w:szCs w:val="20"/>
          <w:lang w:val="en-US"/>
        </w:rPr>
        <w:t xml:space="preserve">Vides </w:t>
      </w:r>
      <w:proofErr w:type="spellStart"/>
      <w:r w:rsidRPr="00BD0682">
        <w:rPr>
          <w:i/>
          <w:iCs/>
          <w:sz w:val="20"/>
          <w:szCs w:val="20"/>
          <w:lang w:val="en-US"/>
        </w:rPr>
        <w:t>aizsardzības</w:t>
      </w:r>
      <w:proofErr w:type="spellEnd"/>
      <w:r w:rsidRPr="00BD0682">
        <w:rPr>
          <w:i/>
          <w:iCs/>
          <w:sz w:val="20"/>
          <w:szCs w:val="20"/>
          <w:lang w:val="en-US"/>
        </w:rPr>
        <w:t xml:space="preserve"> un </w:t>
      </w:r>
      <w:proofErr w:type="spellStart"/>
      <w:r w:rsidRPr="00BD0682">
        <w:rPr>
          <w:i/>
          <w:iCs/>
          <w:sz w:val="20"/>
          <w:szCs w:val="20"/>
          <w:lang w:val="en-US"/>
        </w:rPr>
        <w:t>reģionālās</w:t>
      </w:r>
      <w:proofErr w:type="spellEnd"/>
      <w:r w:rsidRPr="00BD0682">
        <w:rPr>
          <w:i/>
          <w:iCs/>
          <w:sz w:val="20"/>
          <w:szCs w:val="20"/>
          <w:lang w:val="en-US"/>
        </w:rPr>
        <w:t xml:space="preserve"> </w:t>
      </w:r>
      <w:proofErr w:type="spellStart"/>
      <w:r w:rsidRPr="00BD0682">
        <w:rPr>
          <w:i/>
          <w:iCs/>
          <w:sz w:val="20"/>
          <w:szCs w:val="20"/>
          <w:lang w:val="en-US"/>
        </w:rPr>
        <w:t>attīstības</w:t>
      </w:r>
      <w:proofErr w:type="spellEnd"/>
      <w:r w:rsidRPr="00BD0682">
        <w:rPr>
          <w:i/>
          <w:iCs/>
          <w:sz w:val="20"/>
          <w:szCs w:val="20"/>
          <w:lang w:val="en-US"/>
        </w:rPr>
        <w:t xml:space="preserve"> </w:t>
      </w:r>
      <w:proofErr w:type="spellStart"/>
      <w:r w:rsidRPr="00BD0682">
        <w:rPr>
          <w:i/>
          <w:iCs/>
          <w:sz w:val="20"/>
          <w:szCs w:val="20"/>
          <w:lang w:val="en-US"/>
        </w:rPr>
        <w:t>ministrija</w:t>
      </w:r>
      <w:proofErr w:type="spellEnd"/>
      <w:r w:rsidRPr="00092BDA">
        <w:rPr>
          <w:sz w:val="20"/>
          <w:szCs w:val="20"/>
          <w:lang w:val="en-US"/>
        </w:rPr>
        <w:t xml:space="preserve">) </w:t>
      </w:r>
    </w:p>
    <w:p w14:paraId="4F077116" w14:textId="27D2DFD6" w:rsidR="00CE1784" w:rsidRPr="00092BDA" w:rsidRDefault="00CE1784" w:rsidP="00CE1784">
      <w:pPr>
        <w:pStyle w:val="ListParagraph"/>
        <w:numPr>
          <w:ilvl w:val="0"/>
          <w:numId w:val="2"/>
        </w:numPr>
        <w:rPr>
          <w:sz w:val="20"/>
          <w:szCs w:val="20"/>
          <w:lang w:val="en-US"/>
        </w:rPr>
      </w:pPr>
      <w:r w:rsidRPr="00092BDA">
        <w:rPr>
          <w:b/>
          <w:bCs/>
          <w:sz w:val="20"/>
          <w:szCs w:val="20"/>
          <w:lang w:val="en-US"/>
        </w:rPr>
        <w:t xml:space="preserve">Lithuania </w:t>
      </w:r>
      <w:r w:rsidRPr="00092BDA">
        <w:rPr>
          <w:sz w:val="20"/>
          <w:szCs w:val="20"/>
          <w:lang w:val="en-US"/>
        </w:rPr>
        <w:t>- Ministry of the Interior - Public Administration and Local Self-government Policy Group (</w:t>
      </w:r>
      <w:r w:rsidRPr="00BD0682">
        <w:rPr>
          <w:i/>
          <w:iCs/>
          <w:sz w:val="20"/>
          <w:szCs w:val="20"/>
          <w:lang w:val="en-US"/>
        </w:rPr>
        <w:t xml:space="preserve">Lietuvos </w:t>
      </w:r>
      <w:proofErr w:type="spellStart"/>
      <w:r w:rsidRPr="00BD0682">
        <w:rPr>
          <w:i/>
          <w:iCs/>
          <w:sz w:val="20"/>
          <w:szCs w:val="20"/>
          <w:lang w:val="en-US"/>
        </w:rPr>
        <w:t>Respublikos</w:t>
      </w:r>
      <w:proofErr w:type="spellEnd"/>
      <w:r w:rsidRPr="00BD0682">
        <w:rPr>
          <w:i/>
          <w:iCs/>
          <w:sz w:val="20"/>
          <w:szCs w:val="20"/>
          <w:lang w:val="en-US"/>
        </w:rPr>
        <w:t xml:space="preserve"> </w:t>
      </w:r>
      <w:proofErr w:type="spellStart"/>
      <w:r w:rsidRPr="00BD0682">
        <w:rPr>
          <w:i/>
          <w:iCs/>
          <w:sz w:val="20"/>
          <w:szCs w:val="20"/>
          <w:lang w:val="en-US"/>
        </w:rPr>
        <w:t>vidaus</w:t>
      </w:r>
      <w:proofErr w:type="spellEnd"/>
      <w:r w:rsidRPr="00BD0682">
        <w:rPr>
          <w:i/>
          <w:iCs/>
          <w:sz w:val="20"/>
          <w:szCs w:val="20"/>
          <w:lang w:val="en-US"/>
        </w:rPr>
        <w:t xml:space="preserve"> </w:t>
      </w:r>
      <w:proofErr w:type="spellStart"/>
      <w:r w:rsidRPr="00BD0682">
        <w:rPr>
          <w:i/>
          <w:iCs/>
          <w:sz w:val="20"/>
          <w:szCs w:val="20"/>
          <w:lang w:val="en-US"/>
        </w:rPr>
        <w:t>reikalų</w:t>
      </w:r>
      <w:proofErr w:type="spellEnd"/>
      <w:r w:rsidRPr="00BD0682">
        <w:rPr>
          <w:i/>
          <w:iCs/>
          <w:sz w:val="20"/>
          <w:szCs w:val="20"/>
          <w:lang w:val="en-US"/>
        </w:rPr>
        <w:t xml:space="preserve"> </w:t>
      </w:r>
      <w:proofErr w:type="spellStart"/>
      <w:r w:rsidRPr="00BD0682">
        <w:rPr>
          <w:i/>
          <w:iCs/>
          <w:sz w:val="20"/>
          <w:szCs w:val="20"/>
          <w:lang w:val="en-US"/>
        </w:rPr>
        <w:t>ministerija</w:t>
      </w:r>
      <w:proofErr w:type="spellEnd"/>
      <w:r w:rsidRPr="00092BDA">
        <w:rPr>
          <w:sz w:val="20"/>
          <w:szCs w:val="20"/>
          <w:lang w:val="en-US"/>
        </w:rPr>
        <w:t xml:space="preserve">) </w:t>
      </w:r>
    </w:p>
    <w:p w14:paraId="6B8A32FB" w14:textId="66E1CDB1" w:rsidR="00CE1784" w:rsidRPr="00092BDA" w:rsidRDefault="00CE1784" w:rsidP="00CE1784">
      <w:pPr>
        <w:pStyle w:val="ListParagraph"/>
        <w:numPr>
          <w:ilvl w:val="0"/>
          <w:numId w:val="2"/>
        </w:numPr>
        <w:rPr>
          <w:sz w:val="20"/>
          <w:szCs w:val="20"/>
          <w:lang w:val="en-US"/>
        </w:rPr>
      </w:pPr>
      <w:r w:rsidRPr="00092BDA">
        <w:rPr>
          <w:b/>
          <w:bCs/>
          <w:sz w:val="20"/>
          <w:szCs w:val="20"/>
          <w:lang w:val="en-US"/>
        </w:rPr>
        <w:t xml:space="preserve">Slovenia </w:t>
      </w:r>
      <w:r w:rsidRPr="00092BDA">
        <w:rPr>
          <w:sz w:val="20"/>
          <w:szCs w:val="20"/>
          <w:lang w:val="en-US"/>
        </w:rPr>
        <w:t>– Ministry of Public Administration - Directorate for Quality (</w:t>
      </w:r>
      <w:proofErr w:type="spellStart"/>
      <w:r w:rsidRPr="00BD0682">
        <w:rPr>
          <w:i/>
          <w:iCs/>
          <w:sz w:val="20"/>
          <w:szCs w:val="20"/>
          <w:lang w:val="en-US"/>
        </w:rPr>
        <w:t>Ministrstvo</w:t>
      </w:r>
      <w:proofErr w:type="spellEnd"/>
      <w:r w:rsidRPr="00BD0682">
        <w:rPr>
          <w:i/>
          <w:iCs/>
          <w:sz w:val="20"/>
          <w:szCs w:val="20"/>
          <w:lang w:val="en-US"/>
        </w:rPr>
        <w:t xml:space="preserve"> za </w:t>
      </w:r>
      <w:proofErr w:type="spellStart"/>
      <w:r w:rsidRPr="00BD0682">
        <w:rPr>
          <w:i/>
          <w:iCs/>
          <w:sz w:val="20"/>
          <w:szCs w:val="20"/>
          <w:lang w:val="en-US"/>
        </w:rPr>
        <w:t>javno</w:t>
      </w:r>
      <w:proofErr w:type="spellEnd"/>
      <w:r w:rsidRPr="00BD0682">
        <w:rPr>
          <w:i/>
          <w:iCs/>
          <w:sz w:val="20"/>
          <w:szCs w:val="20"/>
          <w:lang w:val="en-US"/>
        </w:rPr>
        <w:t xml:space="preserve"> </w:t>
      </w:r>
      <w:proofErr w:type="spellStart"/>
      <w:r w:rsidRPr="00BD0682">
        <w:rPr>
          <w:i/>
          <w:iCs/>
          <w:sz w:val="20"/>
          <w:szCs w:val="20"/>
          <w:lang w:val="en-US"/>
        </w:rPr>
        <w:t>upravo</w:t>
      </w:r>
      <w:proofErr w:type="spellEnd"/>
      <w:r w:rsidRPr="00092BDA">
        <w:rPr>
          <w:sz w:val="20"/>
          <w:szCs w:val="20"/>
          <w:lang w:val="en-US"/>
        </w:rPr>
        <w:t xml:space="preserve">) </w:t>
      </w:r>
    </w:p>
    <w:p w14:paraId="2FD2A6CB" w14:textId="2758305A" w:rsidR="00CE1784" w:rsidRPr="00092BDA" w:rsidRDefault="00CE1784" w:rsidP="00CE1784">
      <w:pPr>
        <w:pStyle w:val="ListParagraph"/>
        <w:numPr>
          <w:ilvl w:val="0"/>
          <w:numId w:val="2"/>
        </w:numPr>
        <w:rPr>
          <w:sz w:val="20"/>
          <w:szCs w:val="20"/>
          <w:lang w:val="en-US"/>
        </w:rPr>
      </w:pPr>
      <w:r w:rsidRPr="00092BDA">
        <w:rPr>
          <w:b/>
          <w:bCs/>
          <w:sz w:val="20"/>
          <w:szCs w:val="20"/>
          <w:lang w:val="en-US"/>
        </w:rPr>
        <w:t xml:space="preserve">Spain </w:t>
      </w:r>
      <w:r w:rsidRPr="00092BDA">
        <w:rPr>
          <w:sz w:val="20"/>
          <w:szCs w:val="20"/>
          <w:lang w:val="en-US"/>
        </w:rPr>
        <w:t>- Ministry of Finance and Civil Service - Directorate General on Public Governance (</w:t>
      </w:r>
      <w:proofErr w:type="spellStart"/>
      <w:r w:rsidRPr="00BD0682">
        <w:rPr>
          <w:i/>
          <w:iCs/>
          <w:sz w:val="20"/>
          <w:szCs w:val="20"/>
          <w:lang w:val="en-US"/>
        </w:rPr>
        <w:t>Ministerio</w:t>
      </w:r>
      <w:proofErr w:type="spellEnd"/>
      <w:r w:rsidRPr="00BD0682">
        <w:rPr>
          <w:i/>
          <w:iCs/>
          <w:sz w:val="20"/>
          <w:szCs w:val="20"/>
          <w:lang w:val="en-US"/>
        </w:rPr>
        <w:t xml:space="preserve"> de Hacienda y </w:t>
      </w:r>
      <w:proofErr w:type="spellStart"/>
      <w:r w:rsidRPr="00BD0682">
        <w:rPr>
          <w:i/>
          <w:iCs/>
          <w:sz w:val="20"/>
          <w:szCs w:val="20"/>
          <w:lang w:val="en-US"/>
        </w:rPr>
        <w:t>Función</w:t>
      </w:r>
      <w:proofErr w:type="spellEnd"/>
      <w:r w:rsidRPr="00BD0682">
        <w:rPr>
          <w:i/>
          <w:iCs/>
          <w:sz w:val="20"/>
          <w:szCs w:val="20"/>
          <w:lang w:val="en-US"/>
        </w:rPr>
        <w:t xml:space="preserve"> Pública</w:t>
      </w:r>
      <w:r w:rsidRPr="00092BDA">
        <w:rPr>
          <w:sz w:val="20"/>
          <w:szCs w:val="20"/>
          <w:lang w:val="en-US"/>
        </w:rPr>
        <w:t xml:space="preserve">) </w:t>
      </w:r>
    </w:p>
    <w:p w14:paraId="3877C09C" w14:textId="2B0B7A5D" w:rsidR="00CE1784" w:rsidRPr="00501682" w:rsidRDefault="00CE1784" w:rsidP="00501682">
      <w:pPr>
        <w:pStyle w:val="Heading2"/>
        <w:rPr>
          <w:lang w:val="en-US"/>
        </w:rPr>
      </w:pPr>
      <w:r w:rsidRPr="00501682">
        <w:rPr>
          <w:lang w:val="en-US"/>
        </w:rPr>
        <w:t xml:space="preserve">Description of needs to be addressed </w:t>
      </w:r>
    </w:p>
    <w:p w14:paraId="352184F5" w14:textId="190AD6E0" w:rsidR="00CE1784" w:rsidRDefault="00CE1784" w:rsidP="00382B8E">
      <w:pPr>
        <w:pStyle w:val="Para0"/>
        <w:rPr>
          <w:b/>
          <w:bCs/>
          <w:lang w:val="en-US"/>
        </w:rPr>
      </w:pPr>
      <w:r>
        <w:rPr>
          <w:lang w:val="en-US"/>
        </w:rPr>
        <w:t xml:space="preserve">While countries are shifting towards the use of a Life Events approach, no </w:t>
      </w:r>
      <w:proofErr w:type="spellStart"/>
      <w:r>
        <w:rPr>
          <w:lang w:val="en-US"/>
        </w:rPr>
        <w:t>standardised</w:t>
      </w:r>
      <w:proofErr w:type="spellEnd"/>
      <w:r>
        <w:rPr>
          <w:lang w:val="en-US"/>
        </w:rPr>
        <w:t xml:space="preserve"> cross-national approach </w:t>
      </w:r>
      <w:r w:rsidR="004B0E34">
        <w:rPr>
          <w:lang w:val="en-US"/>
        </w:rPr>
        <w:t>exists</w:t>
      </w:r>
      <w:r>
        <w:rPr>
          <w:lang w:val="en-US"/>
        </w:rPr>
        <w:t xml:space="preserve"> for measuring user satisfaction with public services and understanding the main drivers of satisfaction with the way in which public services are designed and delivered. To address this information gap, the Project </w:t>
      </w:r>
      <w:r w:rsidR="00360A61">
        <w:rPr>
          <w:lang w:val="en-US"/>
        </w:rPr>
        <w:t>support</w:t>
      </w:r>
      <w:r w:rsidR="00EB22F9">
        <w:rPr>
          <w:lang w:val="en-US"/>
        </w:rPr>
        <w:t>ed</w:t>
      </w:r>
      <w:r>
        <w:rPr>
          <w:lang w:val="en-US"/>
        </w:rPr>
        <w:t xml:space="preserve"> ten EU Member States (Austria, Croatia, Estonia, Finland, Greece, Ireland, Latvia, Lithuania, Slovenia and Spain) in the development of a </w:t>
      </w:r>
      <w:r>
        <w:rPr>
          <w:b/>
          <w:bCs/>
          <w:lang w:val="en-US"/>
        </w:rPr>
        <w:t xml:space="preserve">common ‘Framework for measuring satisfaction with public services through Life Events’ </w:t>
      </w:r>
      <w:r>
        <w:rPr>
          <w:lang w:val="en-US"/>
        </w:rPr>
        <w:t>focusing on the user journey</w:t>
      </w:r>
      <w:r w:rsidR="00382B8E">
        <w:rPr>
          <w:lang w:val="en-US"/>
        </w:rPr>
        <w:t xml:space="preserve">. In addition, the Project </w:t>
      </w:r>
      <w:r w:rsidR="00EB22F9">
        <w:rPr>
          <w:lang w:val="en-US"/>
        </w:rPr>
        <w:t>aimed</w:t>
      </w:r>
      <w:r w:rsidR="00382B8E">
        <w:rPr>
          <w:lang w:val="en-US"/>
        </w:rPr>
        <w:t xml:space="preserve"> to identify organizational enablers for countries to enhance the design and delivery of government services. </w:t>
      </w:r>
    </w:p>
    <w:p w14:paraId="495EA39F" w14:textId="2B7CDE71" w:rsidR="00CE1784" w:rsidRPr="00EB22F9" w:rsidRDefault="00CE1784" w:rsidP="00EB22F9">
      <w:pPr>
        <w:pStyle w:val="Heading2"/>
        <w:rPr>
          <w:lang w:val="en-US"/>
        </w:rPr>
      </w:pPr>
      <w:r w:rsidRPr="00EB22F9">
        <w:rPr>
          <w:lang w:val="en-US"/>
        </w:rPr>
        <w:t xml:space="preserve">Methodology and approach used to produce the final outputs </w:t>
      </w:r>
    </w:p>
    <w:p w14:paraId="7D96B74A" w14:textId="6D03C843" w:rsidR="00C70905" w:rsidRDefault="00C70905" w:rsidP="00017945">
      <w:pPr>
        <w:jc w:val="both"/>
        <w:rPr>
          <w:sz w:val="20"/>
          <w:szCs w:val="20"/>
          <w:lang w:val="en-US"/>
        </w:rPr>
      </w:pPr>
      <w:r>
        <w:rPr>
          <w:sz w:val="20"/>
          <w:szCs w:val="20"/>
          <w:lang w:val="en-US"/>
        </w:rPr>
        <w:t>The Project aimed to deliver several key outputs</w:t>
      </w:r>
      <w:r w:rsidR="00B938AA">
        <w:rPr>
          <w:sz w:val="20"/>
          <w:szCs w:val="20"/>
          <w:lang w:val="en-US"/>
        </w:rPr>
        <w:t>, as presented in Figure 2 below</w:t>
      </w:r>
      <w:r>
        <w:rPr>
          <w:sz w:val="20"/>
          <w:szCs w:val="20"/>
          <w:lang w:val="en-US"/>
        </w:rPr>
        <w:t>.</w:t>
      </w:r>
      <w:r w:rsidR="00B938AA">
        <w:rPr>
          <w:sz w:val="20"/>
          <w:szCs w:val="20"/>
          <w:lang w:val="en-US"/>
        </w:rPr>
        <w:t xml:space="preserve"> </w:t>
      </w:r>
    </w:p>
    <w:p w14:paraId="6B35DF2C" w14:textId="672D2358" w:rsidR="00C70905" w:rsidRDefault="00C70905" w:rsidP="00C70905">
      <w:pPr>
        <w:pStyle w:val="Caption"/>
      </w:pPr>
      <w:r>
        <w:t xml:space="preserve">Figure </w:t>
      </w:r>
      <w:r>
        <w:fldChar w:fldCharType="begin"/>
      </w:r>
      <w:r>
        <w:instrText xml:space="preserve"> SEQ Figure \* ARABIC </w:instrText>
      </w:r>
      <w:r>
        <w:fldChar w:fldCharType="separate"/>
      </w:r>
      <w:r w:rsidR="00BF6E6E">
        <w:rPr>
          <w:noProof/>
        </w:rPr>
        <w:t>2</w:t>
      </w:r>
      <w:r>
        <w:fldChar w:fldCharType="end"/>
      </w:r>
      <w:r>
        <w:t xml:space="preserve"> Key Outputs of the Project </w:t>
      </w:r>
    </w:p>
    <w:p w14:paraId="140D6C5E" w14:textId="4D73CF07" w:rsidR="00C70905" w:rsidRPr="00C70905" w:rsidRDefault="009A71FD" w:rsidP="00C70905">
      <w:pPr>
        <w:rPr>
          <w:lang w:val="en-US"/>
        </w:rPr>
      </w:pPr>
      <w:r w:rsidRPr="009A71FD">
        <w:drawing>
          <wp:inline distT="0" distB="0" distL="0" distR="0" wp14:anchorId="6EDA28F7" wp14:editId="1F2830F5">
            <wp:extent cx="5731510" cy="2233295"/>
            <wp:effectExtent l="0" t="0" r="2540" b="0"/>
            <wp:docPr id="7510613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061391" name=""/>
                    <pic:cNvPicPr/>
                  </pic:nvPicPr>
                  <pic:blipFill>
                    <a:blip r:embed="rId9"/>
                    <a:stretch>
                      <a:fillRect/>
                    </a:stretch>
                  </pic:blipFill>
                  <pic:spPr>
                    <a:xfrm>
                      <a:off x="0" y="0"/>
                      <a:ext cx="5731510" cy="2233295"/>
                    </a:xfrm>
                    <a:prstGeom prst="rect">
                      <a:avLst/>
                    </a:prstGeom>
                  </pic:spPr>
                </pic:pic>
              </a:graphicData>
            </a:graphic>
          </wp:inline>
        </w:drawing>
      </w:r>
    </w:p>
    <w:p w14:paraId="683A82DD" w14:textId="77777777" w:rsidR="00F1090F" w:rsidRPr="00017945" w:rsidRDefault="00F1090F" w:rsidP="00F1090F">
      <w:pPr>
        <w:pStyle w:val="Sourcenotes"/>
        <w:rPr>
          <w:sz w:val="16"/>
          <w:szCs w:val="20"/>
          <w:lang w:val="en-US"/>
        </w:rPr>
      </w:pPr>
      <w:r w:rsidRPr="00017945">
        <w:rPr>
          <w:sz w:val="16"/>
          <w:szCs w:val="20"/>
          <w:lang w:val="en-US"/>
        </w:rPr>
        <w:t xml:space="preserve">Source: EC-OECD Project on Measuring Citizen’s Satisfaction with key Government Services </w:t>
      </w:r>
    </w:p>
    <w:p w14:paraId="739A49EB" w14:textId="7E9D6AAB" w:rsidR="00A92573" w:rsidRDefault="00A92573" w:rsidP="00017945">
      <w:pPr>
        <w:jc w:val="both"/>
        <w:rPr>
          <w:sz w:val="20"/>
          <w:szCs w:val="20"/>
          <w:lang w:val="en-US"/>
        </w:rPr>
      </w:pPr>
      <w:r>
        <w:rPr>
          <w:sz w:val="20"/>
          <w:szCs w:val="20"/>
          <w:lang w:val="en-US"/>
        </w:rPr>
        <w:t xml:space="preserve">In addition to these Outputs, several data collection and stakeholder consultation activities were undertaken including Country Missions and Workshops.  </w:t>
      </w:r>
    </w:p>
    <w:p w14:paraId="7EEAB030" w14:textId="6BBE5042" w:rsidR="00382B8E" w:rsidRDefault="00382B8E" w:rsidP="00017945">
      <w:pPr>
        <w:jc w:val="both"/>
        <w:rPr>
          <w:sz w:val="20"/>
          <w:szCs w:val="20"/>
          <w:lang w:val="en-US"/>
        </w:rPr>
      </w:pPr>
      <w:r>
        <w:rPr>
          <w:sz w:val="20"/>
          <w:szCs w:val="20"/>
          <w:lang w:val="en-US"/>
        </w:rPr>
        <w:lastRenderedPageBreak/>
        <w:t xml:space="preserve">To develop the </w:t>
      </w:r>
      <w:r w:rsidR="00A92573">
        <w:rPr>
          <w:sz w:val="20"/>
          <w:szCs w:val="20"/>
          <w:lang w:val="en-US"/>
        </w:rPr>
        <w:t>O</w:t>
      </w:r>
      <w:r>
        <w:rPr>
          <w:sz w:val="20"/>
          <w:szCs w:val="20"/>
          <w:lang w:val="en-US"/>
        </w:rPr>
        <w:t xml:space="preserve">utputs for the project, both </w:t>
      </w:r>
      <w:r w:rsidRPr="009A71FD">
        <w:rPr>
          <w:b/>
          <w:bCs/>
          <w:sz w:val="20"/>
          <w:szCs w:val="20"/>
          <w:lang w:val="en-US"/>
        </w:rPr>
        <w:t>primary and secondary research</w:t>
      </w:r>
      <w:r>
        <w:rPr>
          <w:sz w:val="20"/>
          <w:szCs w:val="20"/>
          <w:lang w:val="en-US"/>
        </w:rPr>
        <w:t xml:space="preserve"> was undertaken. </w:t>
      </w:r>
    </w:p>
    <w:p w14:paraId="31EAA3EC" w14:textId="5D7ADB91" w:rsidR="00DF2117" w:rsidRDefault="00CE1784" w:rsidP="00017945">
      <w:pPr>
        <w:jc w:val="both"/>
        <w:rPr>
          <w:sz w:val="20"/>
          <w:szCs w:val="20"/>
          <w:lang w:val="en-US"/>
        </w:rPr>
      </w:pPr>
      <w:r>
        <w:rPr>
          <w:sz w:val="20"/>
          <w:szCs w:val="20"/>
          <w:lang w:val="en-US"/>
        </w:rPr>
        <w:t>Firstly, t</w:t>
      </w:r>
      <w:r w:rsidRPr="00CE1784">
        <w:rPr>
          <w:sz w:val="20"/>
          <w:szCs w:val="20"/>
          <w:lang w:val="en-US"/>
        </w:rPr>
        <w:t xml:space="preserve">o support the beneficiary EU Member States in developing a </w:t>
      </w:r>
      <w:proofErr w:type="spellStart"/>
      <w:r w:rsidRPr="00CE1784">
        <w:rPr>
          <w:sz w:val="20"/>
          <w:szCs w:val="20"/>
          <w:lang w:val="en-US"/>
        </w:rPr>
        <w:t>standardised</w:t>
      </w:r>
      <w:proofErr w:type="spellEnd"/>
      <w:r w:rsidRPr="00CE1784">
        <w:rPr>
          <w:sz w:val="20"/>
          <w:szCs w:val="20"/>
          <w:lang w:val="en-US"/>
        </w:rPr>
        <w:t xml:space="preserve"> cross-national approach for measuring user satisfaction with public services, it was necessary to develop a </w:t>
      </w:r>
      <w:r w:rsidRPr="00CE1784">
        <w:rPr>
          <w:b/>
          <w:bCs/>
          <w:sz w:val="20"/>
          <w:szCs w:val="20"/>
          <w:lang w:val="en-US"/>
        </w:rPr>
        <w:t xml:space="preserve">robust conceptual framework. </w:t>
      </w:r>
      <w:r w:rsidRPr="00CE1784">
        <w:rPr>
          <w:sz w:val="20"/>
          <w:szCs w:val="20"/>
          <w:lang w:val="en-US"/>
        </w:rPr>
        <w:t xml:space="preserve">This Framework was developed by undertaking in-depth documentary review of existing Satisfaction Surveys in place across countries as well as </w:t>
      </w:r>
      <w:r>
        <w:rPr>
          <w:sz w:val="20"/>
          <w:szCs w:val="20"/>
          <w:lang w:val="en-US"/>
        </w:rPr>
        <w:t xml:space="preserve">literature review of key mechanisms to measure satisfaction. </w:t>
      </w:r>
      <w:r w:rsidR="00DF2117">
        <w:rPr>
          <w:sz w:val="20"/>
          <w:szCs w:val="20"/>
          <w:lang w:val="en-US"/>
        </w:rPr>
        <w:t>The design of a Satisfaction Survey required the use of survey techniques through the deployment of an online survey using a representative panel of the population in each of the beneficiary EU Member States. The analysis of Satisfaction Survey data required the use of quantitative analytical techniques.</w:t>
      </w:r>
    </w:p>
    <w:p w14:paraId="1BBE17B9" w14:textId="3E0DC669" w:rsidR="00637F24" w:rsidRDefault="00637F24" w:rsidP="00017945">
      <w:pPr>
        <w:jc w:val="both"/>
        <w:rPr>
          <w:sz w:val="20"/>
          <w:szCs w:val="20"/>
          <w:lang w:val="en-US"/>
        </w:rPr>
      </w:pPr>
      <w:r>
        <w:rPr>
          <w:sz w:val="20"/>
          <w:szCs w:val="20"/>
          <w:lang w:val="en-US"/>
        </w:rPr>
        <w:t>Documentary review was also undertaken to review the existing policies and strategies in place in each of the beneficiary EU Member States for the implementation of human-</w:t>
      </w:r>
      <w:proofErr w:type="spellStart"/>
      <w:r>
        <w:rPr>
          <w:sz w:val="20"/>
          <w:szCs w:val="20"/>
          <w:lang w:val="en-US"/>
        </w:rPr>
        <w:t>centred</w:t>
      </w:r>
      <w:proofErr w:type="spellEnd"/>
      <w:r>
        <w:rPr>
          <w:sz w:val="20"/>
          <w:szCs w:val="20"/>
          <w:lang w:val="en-US"/>
        </w:rPr>
        <w:t xml:space="preserve"> public administrative services. Moreover, primary research was undertaken through interviews with representatives from public administrations in each of the </w:t>
      </w:r>
      <w:r w:rsidR="00EB22F9">
        <w:rPr>
          <w:sz w:val="20"/>
          <w:szCs w:val="20"/>
          <w:lang w:val="en-US"/>
        </w:rPr>
        <w:t xml:space="preserve">beneficiary </w:t>
      </w:r>
      <w:r>
        <w:rPr>
          <w:sz w:val="20"/>
          <w:szCs w:val="20"/>
          <w:lang w:val="en-US"/>
        </w:rPr>
        <w:t xml:space="preserve">countries through Country Missions. </w:t>
      </w:r>
    </w:p>
    <w:p w14:paraId="5003076A" w14:textId="75A94BC3" w:rsidR="00637F24" w:rsidRDefault="00637F24" w:rsidP="00017945">
      <w:pPr>
        <w:jc w:val="both"/>
        <w:rPr>
          <w:sz w:val="20"/>
          <w:szCs w:val="20"/>
          <w:lang w:val="en-US"/>
        </w:rPr>
      </w:pPr>
      <w:r>
        <w:rPr>
          <w:sz w:val="20"/>
          <w:szCs w:val="20"/>
          <w:lang w:val="en-US"/>
        </w:rPr>
        <w:t xml:space="preserve">Two Workshops were also held over the course of the Project which focused on </w:t>
      </w:r>
      <w:r w:rsidR="00017945">
        <w:rPr>
          <w:sz w:val="20"/>
          <w:szCs w:val="20"/>
          <w:lang w:val="en-US"/>
        </w:rPr>
        <w:t xml:space="preserve">the collection of feedback on project outputs. </w:t>
      </w:r>
    </w:p>
    <w:p w14:paraId="0EDC7A13" w14:textId="0E5AAD25" w:rsidR="00CE1784" w:rsidRPr="00F236B1" w:rsidRDefault="00CE1784" w:rsidP="00F236B1">
      <w:pPr>
        <w:pStyle w:val="Heading2"/>
        <w:rPr>
          <w:lang w:val="en-US"/>
        </w:rPr>
      </w:pPr>
      <w:r w:rsidRPr="00F236B1">
        <w:rPr>
          <w:lang w:val="en-US"/>
        </w:rPr>
        <w:t xml:space="preserve">Key outputs and activities that were undertaken </w:t>
      </w:r>
    </w:p>
    <w:p w14:paraId="732B3ECB" w14:textId="21CE8C04" w:rsidR="00CE1784" w:rsidRPr="00017945" w:rsidRDefault="003F24F6" w:rsidP="009A71FD">
      <w:pPr>
        <w:pStyle w:val="ParaOpener"/>
        <w:rPr>
          <w:lang w:val="en-US"/>
        </w:rPr>
      </w:pPr>
      <w:r w:rsidRPr="00017945">
        <w:rPr>
          <w:lang w:val="en-US"/>
        </w:rPr>
        <w:t xml:space="preserve">Output 0.1: Kick-off meeting </w:t>
      </w:r>
    </w:p>
    <w:p w14:paraId="65030210" w14:textId="1717DE8E" w:rsidR="00846BCB" w:rsidRPr="00017945" w:rsidRDefault="00846BCB" w:rsidP="00F236B1">
      <w:pPr>
        <w:jc w:val="both"/>
        <w:rPr>
          <w:sz w:val="20"/>
          <w:szCs w:val="20"/>
          <w:lang w:val="en-US"/>
        </w:rPr>
      </w:pPr>
      <w:r w:rsidRPr="00017945">
        <w:rPr>
          <w:sz w:val="20"/>
          <w:szCs w:val="20"/>
          <w:lang w:val="en-US"/>
        </w:rPr>
        <w:t xml:space="preserve">A kick-off meeting was held on </w:t>
      </w:r>
      <w:r w:rsidR="007C606E" w:rsidRPr="00017945">
        <w:rPr>
          <w:sz w:val="20"/>
          <w:szCs w:val="20"/>
          <w:lang w:val="en-US"/>
        </w:rPr>
        <w:t xml:space="preserve">19 September 2023. </w:t>
      </w:r>
      <w:r w:rsidR="00866E2B" w:rsidRPr="00017945">
        <w:rPr>
          <w:sz w:val="20"/>
          <w:szCs w:val="20"/>
          <w:lang w:val="en-US"/>
        </w:rPr>
        <w:t xml:space="preserve">The kick-off meeting officially launched the Project and brought together all members of the Advisory Group. The meeting was an opportunity for the OECD Team to present the approach for the Project as well as the overall Work </w:t>
      </w:r>
      <w:proofErr w:type="spellStart"/>
      <w:r w:rsidR="00866E2B" w:rsidRPr="00017945">
        <w:rPr>
          <w:sz w:val="20"/>
          <w:szCs w:val="20"/>
          <w:lang w:val="en-US"/>
        </w:rPr>
        <w:t>Programme</w:t>
      </w:r>
      <w:proofErr w:type="spellEnd"/>
      <w:r w:rsidR="00866E2B" w:rsidRPr="00017945">
        <w:rPr>
          <w:sz w:val="20"/>
          <w:szCs w:val="20"/>
          <w:lang w:val="en-US"/>
        </w:rPr>
        <w:t xml:space="preserve">. </w:t>
      </w:r>
      <w:r w:rsidR="00710504" w:rsidRPr="00017945">
        <w:rPr>
          <w:sz w:val="20"/>
          <w:szCs w:val="20"/>
          <w:lang w:val="en-US"/>
        </w:rPr>
        <w:t xml:space="preserve">Following the kick-off meeting, individual </w:t>
      </w:r>
      <w:proofErr w:type="gramStart"/>
      <w:r w:rsidR="00710504" w:rsidRPr="00017945">
        <w:rPr>
          <w:sz w:val="20"/>
          <w:szCs w:val="20"/>
          <w:lang w:val="en-US"/>
        </w:rPr>
        <w:t>exploratory</w:t>
      </w:r>
      <w:proofErr w:type="gramEnd"/>
      <w:r w:rsidR="00710504" w:rsidRPr="00017945">
        <w:rPr>
          <w:sz w:val="20"/>
          <w:szCs w:val="20"/>
          <w:lang w:val="en-US"/>
        </w:rPr>
        <w:t xml:space="preserve"> interviews were held</w:t>
      </w:r>
      <w:r w:rsidR="00F236B1">
        <w:rPr>
          <w:sz w:val="20"/>
          <w:szCs w:val="20"/>
          <w:lang w:val="en-US"/>
        </w:rPr>
        <w:t xml:space="preserve"> in October and November 202</w:t>
      </w:r>
      <w:r w:rsidR="00503003">
        <w:rPr>
          <w:sz w:val="20"/>
          <w:szCs w:val="20"/>
          <w:lang w:val="en-US"/>
        </w:rPr>
        <w:t>3</w:t>
      </w:r>
      <w:r w:rsidR="00710504" w:rsidRPr="00017945">
        <w:rPr>
          <w:sz w:val="20"/>
          <w:szCs w:val="20"/>
          <w:lang w:val="en-US"/>
        </w:rPr>
        <w:t xml:space="preserve"> with each of the National Contact Points from the beneficiary authorities participating in the Project. The aim of these </w:t>
      </w:r>
      <w:proofErr w:type="gramStart"/>
      <w:r w:rsidR="00710504" w:rsidRPr="00017945">
        <w:rPr>
          <w:sz w:val="20"/>
          <w:szCs w:val="20"/>
          <w:lang w:val="en-US"/>
        </w:rPr>
        <w:t>exploratory</w:t>
      </w:r>
      <w:proofErr w:type="gramEnd"/>
      <w:r w:rsidR="00710504" w:rsidRPr="00017945">
        <w:rPr>
          <w:sz w:val="20"/>
          <w:szCs w:val="20"/>
          <w:lang w:val="en-US"/>
        </w:rPr>
        <w:t xml:space="preserve"> interviews was to identify the existing strategies and policies currently in place in countries for the delivery of human-</w:t>
      </w:r>
      <w:proofErr w:type="spellStart"/>
      <w:r w:rsidR="00710504" w:rsidRPr="00017945">
        <w:rPr>
          <w:sz w:val="20"/>
          <w:szCs w:val="20"/>
          <w:lang w:val="en-US"/>
        </w:rPr>
        <w:t>centred</w:t>
      </w:r>
      <w:proofErr w:type="spellEnd"/>
      <w:r w:rsidR="00710504" w:rsidRPr="00017945">
        <w:rPr>
          <w:sz w:val="20"/>
          <w:szCs w:val="20"/>
          <w:lang w:val="en-US"/>
        </w:rPr>
        <w:t xml:space="preserve"> public services as well as to identify the level of maturity with regard to the Life Event approach. The exploratory interviews were also an opportunity for the OECD and National Contact Points to discuss their expectations for the Project. </w:t>
      </w:r>
    </w:p>
    <w:p w14:paraId="23E0F75D" w14:textId="373F0C72" w:rsidR="00710504" w:rsidRPr="00503003" w:rsidRDefault="00710504" w:rsidP="00503003">
      <w:pPr>
        <w:pStyle w:val="ParaOpener"/>
        <w:rPr>
          <w:lang w:val="en-US"/>
        </w:rPr>
      </w:pPr>
      <w:r w:rsidRPr="00503003">
        <w:rPr>
          <w:lang w:val="en-US"/>
        </w:rPr>
        <w:t xml:space="preserve">Output 0.2: </w:t>
      </w:r>
      <w:r w:rsidR="00E47EFF" w:rsidRPr="00503003">
        <w:rPr>
          <w:lang w:val="en-US"/>
        </w:rPr>
        <w:t xml:space="preserve">Inception Report </w:t>
      </w:r>
    </w:p>
    <w:p w14:paraId="4759A7F3" w14:textId="042DF8AF" w:rsidR="00E47EFF" w:rsidRPr="00017945" w:rsidRDefault="00E47EFF" w:rsidP="00F236B1">
      <w:pPr>
        <w:jc w:val="both"/>
        <w:rPr>
          <w:sz w:val="20"/>
          <w:szCs w:val="20"/>
          <w:lang w:val="en-US"/>
        </w:rPr>
      </w:pPr>
      <w:r w:rsidRPr="00017945">
        <w:rPr>
          <w:sz w:val="20"/>
          <w:szCs w:val="20"/>
          <w:lang w:val="en-US"/>
        </w:rPr>
        <w:t xml:space="preserve">An Inception Report was delivered to the members of the Advisory Group on 1 December 2023. The Inception Report presented an overview of the desk research undertaken </w:t>
      </w:r>
      <w:r w:rsidR="00503003">
        <w:rPr>
          <w:sz w:val="20"/>
          <w:szCs w:val="20"/>
          <w:lang w:val="en-US"/>
        </w:rPr>
        <w:t>from</w:t>
      </w:r>
      <w:r w:rsidRPr="00017945">
        <w:rPr>
          <w:sz w:val="20"/>
          <w:szCs w:val="20"/>
          <w:lang w:val="en-US"/>
        </w:rPr>
        <w:t xml:space="preserve"> the </w:t>
      </w:r>
      <w:r w:rsidR="00503003">
        <w:rPr>
          <w:sz w:val="20"/>
          <w:szCs w:val="20"/>
          <w:lang w:val="en-US"/>
        </w:rPr>
        <w:t>Project launch</w:t>
      </w:r>
      <w:r w:rsidRPr="00017945">
        <w:rPr>
          <w:sz w:val="20"/>
          <w:szCs w:val="20"/>
          <w:lang w:val="en-US"/>
        </w:rPr>
        <w:t xml:space="preserve">, including presenting an overview of the current Life Event approaches and survey mechanisms in place in each </w:t>
      </w:r>
      <w:r w:rsidR="0005662A">
        <w:rPr>
          <w:sz w:val="20"/>
          <w:szCs w:val="20"/>
          <w:lang w:val="en-US"/>
        </w:rPr>
        <w:t>beneficiary Member State</w:t>
      </w:r>
      <w:r w:rsidRPr="00017945">
        <w:rPr>
          <w:sz w:val="20"/>
          <w:szCs w:val="20"/>
          <w:lang w:val="en-US"/>
        </w:rPr>
        <w:t xml:space="preserve">. The Inception Report laid out the options for developing a Satisfaction Survey in the countries. Following comments received on the Inception Report, a final version of the Report was published in January 2024. </w:t>
      </w:r>
    </w:p>
    <w:p w14:paraId="1E285005" w14:textId="15D85B38" w:rsidR="00E47EFF" w:rsidRPr="009A71FD" w:rsidRDefault="00CC761E" w:rsidP="009A71FD">
      <w:pPr>
        <w:pStyle w:val="ParaOpener"/>
        <w:rPr>
          <w:lang w:val="en-US"/>
        </w:rPr>
      </w:pPr>
      <w:r w:rsidRPr="009A71FD">
        <w:rPr>
          <w:lang w:val="en-US"/>
        </w:rPr>
        <w:t xml:space="preserve">Output 1.1: </w:t>
      </w:r>
      <w:r w:rsidR="00A031F7" w:rsidRPr="009A71FD">
        <w:rPr>
          <w:lang w:val="en-US"/>
        </w:rPr>
        <w:t xml:space="preserve">A Common Methodology and Questionnaire </w:t>
      </w:r>
      <w:r w:rsidR="00CE4A23" w:rsidRPr="009A71FD">
        <w:rPr>
          <w:lang w:val="en-US"/>
        </w:rPr>
        <w:t xml:space="preserve">for measuring satisfaction with Life Event services </w:t>
      </w:r>
    </w:p>
    <w:p w14:paraId="5C5380AE" w14:textId="66A36A42" w:rsidR="00CE4A23" w:rsidRPr="00017945" w:rsidRDefault="00CE4A23" w:rsidP="00CE1784">
      <w:pPr>
        <w:rPr>
          <w:sz w:val="20"/>
          <w:szCs w:val="20"/>
          <w:lang w:val="en-US"/>
        </w:rPr>
      </w:pPr>
      <w:r w:rsidRPr="00017945">
        <w:rPr>
          <w:sz w:val="20"/>
          <w:szCs w:val="20"/>
          <w:lang w:val="en-US"/>
        </w:rPr>
        <w:t xml:space="preserve">This Output focused on the development of a Measurement Framework for measuring satisfaction with public services delivered through Life Events. </w:t>
      </w:r>
      <w:r w:rsidR="0089707F" w:rsidRPr="00017945">
        <w:rPr>
          <w:sz w:val="20"/>
          <w:szCs w:val="20"/>
          <w:lang w:val="en-US"/>
        </w:rPr>
        <w:t xml:space="preserve">The Output focused on three key activities: </w:t>
      </w:r>
    </w:p>
    <w:p w14:paraId="246EC234" w14:textId="3EC4F396" w:rsidR="0089707F" w:rsidRPr="00017945" w:rsidRDefault="0089707F" w:rsidP="00CE1784">
      <w:pPr>
        <w:rPr>
          <w:b/>
          <w:bCs/>
          <w:sz w:val="20"/>
          <w:szCs w:val="20"/>
          <w:lang w:val="en-US"/>
        </w:rPr>
      </w:pPr>
      <w:r w:rsidRPr="00017945">
        <w:rPr>
          <w:b/>
          <w:bCs/>
          <w:i/>
          <w:iCs/>
          <w:sz w:val="20"/>
          <w:szCs w:val="20"/>
          <w:lang w:val="en-US"/>
        </w:rPr>
        <w:lastRenderedPageBreak/>
        <w:t>Activity 1.1.1: Develop theoretical framework and methodology on user satisfaction with public services and survey questionnaire</w:t>
      </w:r>
      <w:r w:rsidRPr="00017945">
        <w:rPr>
          <w:b/>
          <w:bCs/>
          <w:sz w:val="20"/>
          <w:szCs w:val="20"/>
          <w:lang w:val="en-US"/>
        </w:rPr>
        <w:t xml:space="preserve"> </w:t>
      </w:r>
    </w:p>
    <w:p w14:paraId="6F5D3C59" w14:textId="6415F2A5" w:rsidR="00A41A8C" w:rsidRPr="00017945" w:rsidRDefault="0089707F" w:rsidP="00F236B1">
      <w:pPr>
        <w:jc w:val="both"/>
        <w:rPr>
          <w:sz w:val="20"/>
          <w:szCs w:val="20"/>
          <w:lang w:val="en-US"/>
        </w:rPr>
      </w:pPr>
      <w:r w:rsidRPr="00017945">
        <w:rPr>
          <w:sz w:val="20"/>
          <w:szCs w:val="20"/>
          <w:lang w:val="en-US"/>
        </w:rPr>
        <w:t>Based on an in-depth literature review including a review of existing satisfaction surveys in the ten beneficiary EU Member States and in OECD countries, a</w:t>
      </w:r>
      <w:r w:rsidR="00A41A8C" w:rsidRPr="00017945">
        <w:rPr>
          <w:sz w:val="20"/>
          <w:szCs w:val="20"/>
          <w:lang w:val="en-US"/>
        </w:rPr>
        <w:t xml:space="preserve"> </w:t>
      </w:r>
      <w:r w:rsidR="00A41A8C" w:rsidRPr="00017945">
        <w:rPr>
          <w:b/>
          <w:bCs/>
          <w:sz w:val="20"/>
          <w:szCs w:val="20"/>
          <w:lang w:val="en-US"/>
        </w:rPr>
        <w:t>common</w:t>
      </w:r>
      <w:r w:rsidRPr="00017945">
        <w:rPr>
          <w:sz w:val="20"/>
          <w:szCs w:val="20"/>
          <w:lang w:val="en-US"/>
        </w:rPr>
        <w:t xml:space="preserve"> </w:t>
      </w:r>
      <w:r w:rsidRPr="00017945">
        <w:rPr>
          <w:b/>
          <w:bCs/>
          <w:sz w:val="20"/>
          <w:szCs w:val="20"/>
          <w:lang w:val="en-US"/>
        </w:rPr>
        <w:t xml:space="preserve">measurement framework </w:t>
      </w:r>
      <w:r w:rsidR="00A41A8C" w:rsidRPr="00017945">
        <w:rPr>
          <w:b/>
          <w:bCs/>
          <w:sz w:val="20"/>
          <w:szCs w:val="20"/>
          <w:lang w:val="en-US"/>
        </w:rPr>
        <w:t>for measuring satisfaction with public services through Life Events</w:t>
      </w:r>
      <w:r w:rsidRPr="00017945">
        <w:rPr>
          <w:sz w:val="20"/>
          <w:szCs w:val="20"/>
          <w:lang w:val="en-US"/>
        </w:rPr>
        <w:t xml:space="preserve"> was developed by the OECD. </w:t>
      </w:r>
      <w:r w:rsidR="00A41A8C" w:rsidRPr="00017945">
        <w:rPr>
          <w:sz w:val="20"/>
          <w:szCs w:val="20"/>
          <w:lang w:val="en-US"/>
        </w:rPr>
        <w:t>The Framework developed by the Project focused on measuring satisfaction with the performance of public services delivered through Life Events throughout the key stages of the User Journey (1) Access (2) Navigate and (3) Achieve</w:t>
      </w:r>
      <w:r w:rsidR="0005662A">
        <w:rPr>
          <w:sz w:val="20"/>
          <w:szCs w:val="20"/>
          <w:lang w:val="en-US"/>
        </w:rPr>
        <w:t xml:space="preserve"> (Figure 3)</w:t>
      </w:r>
      <w:r w:rsidR="00A41A8C" w:rsidRPr="00017945">
        <w:rPr>
          <w:sz w:val="20"/>
          <w:szCs w:val="20"/>
          <w:lang w:val="en-US"/>
        </w:rPr>
        <w:t xml:space="preserve">. </w:t>
      </w:r>
    </w:p>
    <w:p w14:paraId="66E10EFA" w14:textId="3868E5E5" w:rsidR="00A41A8C" w:rsidRPr="00017945" w:rsidRDefault="00B73B04" w:rsidP="00B73B04">
      <w:pPr>
        <w:pStyle w:val="Caption"/>
        <w:rPr>
          <w:sz w:val="22"/>
          <w:szCs w:val="16"/>
        </w:rPr>
      </w:pPr>
      <w:bookmarkStart w:id="0" w:name="_Toc215589875"/>
      <w:r>
        <w:t xml:space="preserve">Figure </w:t>
      </w:r>
      <w:r>
        <w:fldChar w:fldCharType="begin"/>
      </w:r>
      <w:r>
        <w:instrText xml:space="preserve"> SEQ Figure \* ARABIC </w:instrText>
      </w:r>
      <w:r>
        <w:fldChar w:fldCharType="separate"/>
      </w:r>
      <w:r w:rsidR="00BF6E6E">
        <w:rPr>
          <w:noProof/>
        </w:rPr>
        <w:t>3</w:t>
      </w:r>
      <w:r>
        <w:fldChar w:fldCharType="end"/>
      </w:r>
      <w:r w:rsidR="00A41A8C" w:rsidRPr="00017945">
        <w:rPr>
          <w:sz w:val="22"/>
          <w:szCs w:val="16"/>
        </w:rPr>
        <w:t xml:space="preserve"> Measurement Framework for measuring satisfaction with public administrative services</w:t>
      </w:r>
      <w:bookmarkEnd w:id="0"/>
      <w:r w:rsidR="00A41A8C" w:rsidRPr="00017945">
        <w:rPr>
          <w:sz w:val="22"/>
          <w:szCs w:val="16"/>
        </w:rPr>
        <w:t xml:space="preserve"> </w:t>
      </w:r>
    </w:p>
    <w:p w14:paraId="63087558" w14:textId="77777777" w:rsidR="00A41A8C" w:rsidRPr="00017945" w:rsidRDefault="00A41A8C" w:rsidP="00A41A8C">
      <w:pPr>
        <w:pStyle w:val="Figure"/>
        <w:rPr>
          <w:i/>
          <w:sz w:val="20"/>
          <w:szCs w:val="20"/>
        </w:rPr>
      </w:pPr>
      <w:r w:rsidRPr="00017945">
        <w:rPr>
          <w:noProof/>
          <w:sz w:val="20"/>
          <w:szCs w:val="20"/>
        </w:rPr>
        <w:drawing>
          <wp:inline distT="0" distB="0" distL="0" distR="0" wp14:anchorId="1E37FF23" wp14:editId="11BE156B">
            <wp:extent cx="5904230" cy="2745740"/>
            <wp:effectExtent l="0" t="0" r="1270" b="0"/>
            <wp:docPr id="162076700" name="Picture 1" descr="A diagram of a customer ser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76700" name="Picture 1" descr="A diagram of a customer service&#10;&#10;AI-generated content may be incorrect."/>
                    <pic:cNvPicPr/>
                  </pic:nvPicPr>
                  <pic:blipFill>
                    <a:blip r:embed="rId10"/>
                    <a:stretch>
                      <a:fillRect/>
                    </a:stretch>
                  </pic:blipFill>
                  <pic:spPr>
                    <a:xfrm>
                      <a:off x="0" y="0"/>
                      <a:ext cx="5904230" cy="2745740"/>
                    </a:xfrm>
                    <a:prstGeom prst="rect">
                      <a:avLst/>
                    </a:prstGeom>
                  </pic:spPr>
                </pic:pic>
              </a:graphicData>
            </a:graphic>
          </wp:inline>
        </w:drawing>
      </w:r>
    </w:p>
    <w:p w14:paraId="568A99B8" w14:textId="77777777" w:rsidR="00A41A8C" w:rsidRPr="00017945" w:rsidRDefault="00A41A8C" w:rsidP="00A41A8C">
      <w:pPr>
        <w:pStyle w:val="Sourcenotes"/>
        <w:rPr>
          <w:sz w:val="16"/>
          <w:szCs w:val="20"/>
          <w:lang w:val="en-US"/>
        </w:rPr>
      </w:pPr>
      <w:r w:rsidRPr="00017945">
        <w:rPr>
          <w:sz w:val="16"/>
          <w:szCs w:val="20"/>
          <w:lang w:val="en-US"/>
        </w:rPr>
        <w:t xml:space="preserve">Source: EC-OECD Project on Measuring Citizen’s Satisfaction with key Government Services </w:t>
      </w:r>
    </w:p>
    <w:p w14:paraId="4335507A" w14:textId="77A65E62" w:rsidR="00A41A8C" w:rsidRPr="00017945" w:rsidRDefault="0062598E" w:rsidP="00FA4C3C">
      <w:pPr>
        <w:jc w:val="both"/>
        <w:rPr>
          <w:sz w:val="20"/>
          <w:szCs w:val="20"/>
          <w:lang w:val="en-US"/>
        </w:rPr>
      </w:pPr>
      <w:r w:rsidRPr="00017945">
        <w:rPr>
          <w:sz w:val="20"/>
          <w:szCs w:val="20"/>
          <w:lang w:val="en-US"/>
        </w:rPr>
        <w:t xml:space="preserve">The Framework was presented to the Advisory Group, with feedback received as well as tested with a Panel of External Experts. A detailed Satisfaction questionnaire was subsequently drafted in English. </w:t>
      </w:r>
    </w:p>
    <w:p w14:paraId="77B2CC26" w14:textId="31F3C701" w:rsidR="0062598E" w:rsidRPr="00017945" w:rsidRDefault="006E3E7E" w:rsidP="00CE1784">
      <w:pPr>
        <w:rPr>
          <w:b/>
          <w:bCs/>
          <w:i/>
          <w:iCs/>
          <w:sz w:val="20"/>
          <w:szCs w:val="20"/>
          <w:lang w:val="en-US"/>
        </w:rPr>
      </w:pPr>
      <w:r w:rsidRPr="00017945">
        <w:rPr>
          <w:b/>
          <w:bCs/>
          <w:i/>
          <w:iCs/>
          <w:sz w:val="20"/>
          <w:szCs w:val="20"/>
          <w:lang w:val="en-US"/>
        </w:rPr>
        <w:t xml:space="preserve">Activity </w:t>
      </w:r>
      <w:r w:rsidR="00175955" w:rsidRPr="00017945">
        <w:rPr>
          <w:b/>
          <w:bCs/>
          <w:i/>
          <w:iCs/>
          <w:sz w:val="20"/>
          <w:szCs w:val="20"/>
          <w:lang w:val="en-US"/>
        </w:rPr>
        <w:t xml:space="preserve">1.1.2: Identify Life Events to be surveyed </w:t>
      </w:r>
    </w:p>
    <w:p w14:paraId="070EC7DA" w14:textId="25B36C1C" w:rsidR="00175955" w:rsidRDefault="00175955" w:rsidP="00FA4C3C">
      <w:pPr>
        <w:jc w:val="both"/>
        <w:rPr>
          <w:sz w:val="20"/>
          <w:szCs w:val="20"/>
          <w:lang w:val="en-US"/>
        </w:rPr>
      </w:pPr>
      <w:r w:rsidRPr="00017945">
        <w:rPr>
          <w:sz w:val="20"/>
          <w:szCs w:val="20"/>
          <w:lang w:val="en-US"/>
        </w:rPr>
        <w:t xml:space="preserve">A detailed mapping was undertaken of the Life Events currently being implemented in beneficiary EU Member States. Based on </w:t>
      </w:r>
      <w:r w:rsidR="001C44FA">
        <w:rPr>
          <w:sz w:val="20"/>
          <w:szCs w:val="20"/>
          <w:lang w:val="en-US"/>
        </w:rPr>
        <w:t>the range of</w:t>
      </w:r>
      <w:r w:rsidRPr="00017945">
        <w:rPr>
          <w:sz w:val="20"/>
          <w:szCs w:val="20"/>
          <w:lang w:val="en-US"/>
        </w:rPr>
        <w:t xml:space="preserve"> Life Events being developed</w:t>
      </w:r>
      <w:r w:rsidR="001C44FA">
        <w:rPr>
          <w:sz w:val="20"/>
          <w:szCs w:val="20"/>
          <w:lang w:val="en-US"/>
        </w:rPr>
        <w:t xml:space="preserve"> in the beneficiary Member States</w:t>
      </w:r>
      <w:r w:rsidRPr="00017945">
        <w:rPr>
          <w:sz w:val="20"/>
          <w:szCs w:val="20"/>
          <w:lang w:val="en-US"/>
        </w:rPr>
        <w:t xml:space="preserve">, a list of 15 Life Events commonly identified throughout the ten </w:t>
      </w:r>
      <w:r w:rsidR="00F236B1">
        <w:rPr>
          <w:sz w:val="20"/>
          <w:szCs w:val="20"/>
          <w:lang w:val="en-US"/>
        </w:rPr>
        <w:t>Member States</w:t>
      </w:r>
      <w:r w:rsidR="00D931B3">
        <w:rPr>
          <w:sz w:val="20"/>
          <w:szCs w:val="20"/>
          <w:lang w:val="en-US"/>
        </w:rPr>
        <w:t xml:space="preserve"> was drawn up</w:t>
      </w:r>
      <w:r w:rsidRPr="00017945">
        <w:rPr>
          <w:sz w:val="20"/>
          <w:szCs w:val="20"/>
          <w:lang w:val="en-US"/>
        </w:rPr>
        <w:t xml:space="preserve">. </w:t>
      </w:r>
      <w:r w:rsidR="00D931B3">
        <w:rPr>
          <w:sz w:val="20"/>
          <w:szCs w:val="20"/>
          <w:lang w:val="en-US"/>
        </w:rPr>
        <w:t xml:space="preserve">This list of 15 Life Events (Figure 4) was the focus of the Population Survey deployed in the 15 beneficiary Member States. </w:t>
      </w:r>
    </w:p>
    <w:p w14:paraId="445FD1A3" w14:textId="52513EC7" w:rsidR="00B73B04" w:rsidRPr="00017945" w:rsidRDefault="00B73B04" w:rsidP="00B73B04">
      <w:pPr>
        <w:pStyle w:val="Caption"/>
        <w:rPr>
          <w:sz w:val="20"/>
          <w:szCs w:val="20"/>
          <w:lang w:val="en-US"/>
        </w:rPr>
      </w:pPr>
      <w:r>
        <w:lastRenderedPageBreak/>
        <w:t xml:space="preserve">Figure </w:t>
      </w:r>
      <w:r>
        <w:fldChar w:fldCharType="begin"/>
      </w:r>
      <w:r>
        <w:instrText xml:space="preserve"> SEQ Figure \* ARABIC </w:instrText>
      </w:r>
      <w:r>
        <w:fldChar w:fldCharType="separate"/>
      </w:r>
      <w:r w:rsidR="00BF6E6E">
        <w:rPr>
          <w:noProof/>
        </w:rPr>
        <w:t>4</w:t>
      </w:r>
      <w:r>
        <w:fldChar w:fldCharType="end"/>
      </w:r>
      <w:r>
        <w:t xml:space="preserve"> Life Events selected for population survey </w:t>
      </w:r>
    </w:p>
    <w:p w14:paraId="7B3149B1" w14:textId="6B243841" w:rsidR="00175955" w:rsidRPr="00017945" w:rsidRDefault="00FB6866" w:rsidP="00CE1784">
      <w:pPr>
        <w:rPr>
          <w:sz w:val="20"/>
          <w:szCs w:val="20"/>
          <w:lang w:val="en-US"/>
        </w:rPr>
      </w:pPr>
      <w:r w:rsidRPr="00017945">
        <w:rPr>
          <w:noProof/>
          <w:sz w:val="20"/>
          <w:szCs w:val="20"/>
        </w:rPr>
        <w:drawing>
          <wp:inline distT="0" distB="0" distL="0" distR="0" wp14:anchorId="678EF824" wp14:editId="7BB65A89">
            <wp:extent cx="5731510" cy="2332548"/>
            <wp:effectExtent l="0" t="0" r="2540" b="0"/>
            <wp:docPr id="2045117299" name="Picture 1" descr="A blue rectangular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117299" name="Picture 1" descr="A blue rectangular sign with white text&#10;&#10;AI-generated content may be incorrect."/>
                    <pic:cNvPicPr/>
                  </pic:nvPicPr>
                  <pic:blipFill>
                    <a:blip r:embed="rId11"/>
                    <a:stretch>
                      <a:fillRect/>
                    </a:stretch>
                  </pic:blipFill>
                  <pic:spPr>
                    <a:xfrm>
                      <a:off x="0" y="0"/>
                      <a:ext cx="5731510" cy="2332548"/>
                    </a:xfrm>
                    <a:prstGeom prst="rect">
                      <a:avLst/>
                    </a:prstGeom>
                  </pic:spPr>
                </pic:pic>
              </a:graphicData>
            </a:graphic>
          </wp:inline>
        </w:drawing>
      </w:r>
    </w:p>
    <w:p w14:paraId="434EC1CC" w14:textId="77777777" w:rsidR="00F1090F" w:rsidRPr="00017945" w:rsidRDefault="00F1090F" w:rsidP="00F1090F">
      <w:pPr>
        <w:pStyle w:val="Sourcenotes"/>
        <w:rPr>
          <w:sz w:val="16"/>
          <w:szCs w:val="20"/>
          <w:lang w:val="en-US"/>
        </w:rPr>
      </w:pPr>
      <w:r w:rsidRPr="00017945">
        <w:rPr>
          <w:sz w:val="16"/>
          <w:szCs w:val="20"/>
          <w:lang w:val="en-US"/>
        </w:rPr>
        <w:t xml:space="preserve">Source: EC-OECD Project on Measuring Citizen’s Satisfaction with key Government Services </w:t>
      </w:r>
    </w:p>
    <w:p w14:paraId="33DC3931" w14:textId="3B84938C" w:rsidR="00A41A8C" w:rsidRPr="00017945" w:rsidRDefault="00FB6866" w:rsidP="00CE1784">
      <w:pPr>
        <w:rPr>
          <w:sz w:val="20"/>
          <w:szCs w:val="20"/>
        </w:rPr>
      </w:pPr>
      <w:r w:rsidRPr="00017945">
        <w:rPr>
          <w:b/>
          <w:bCs/>
          <w:i/>
          <w:iCs/>
          <w:sz w:val="20"/>
          <w:szCs w:val="20"/>
          <w:lang w:val="en-US"/>
        </w:rPr>
        <w:t xml:space="preserve">Activity 1.1.3: Propose Survey Strategy and Modality </w:t>
      </w:r>
    </w:p>
    <w:p w14:paraId="230E3FC3" w14:textId="4CFF9C3E" w:rsidR="00FB6866" w:rsidRPr="00017945" w:rsidRDefault="00FB6866" w:rsidP="00CF7843">
      <w:pPr>
        <w:jc w:val="both"/>
        <w:rPr>
          <w:sz w:val="20"/>
          <w:szCs w:val="20"/>
        </w:rPr>
      </w:pPr>
      <w:r w:rsidRPr="00017945">
        <w:rPr>
          <w:sz w:val="20"/>
          <w:szCs w:val="20"/>
        </w:rPr>
        <w:t>The Project identified the various options for surveying citizens experiencing Life Events across the ten beneficiary EU Member States. A Population Survey</w:t>
      </w:r>
      <w:r w:rsidR="00B73B04">
        <w:rPr>
          <w:sz w:val="20"/>
          <w:szCs w:val="20"/>
        </w:rPr>
        <w:t>,</w:t>
      </w:r>
      <w:r w:rsidRPr="00017945">
        <w:rPr>
          <w:sz w:val="20"/>
          <w:szCs w:val="20"/>
        </w:rPr>
        <w:t xml:space="preserve"> representative of the general population</w:t>
      </w:r>
      <w:r w:rsidR="00B73B04">
        <w:rPr>
          <w:sz w:val="20"/>
          <w:szCs w:val="20"/>
        </w:rPr>
        <w:t>,</w:t>
      </w:r>
      <w:r w:rsidRPr="00017945">
        <w:rPr>
          <w:sz w:val="20"/>
          <w:szCs w:val="20"/>
        </w:rPr>
        <w:t xml:space="preserve"> was selected by the Advisory Group with a view to being able to measure user satisfaction with public services for one of the 15 Life Events selected under Activity 1.1.2</w:t>
      </w:r>
      <w:r w:rsidR="00CF7843">
        <w:rPr>
          <w:sz w:val="20"/>
          <w:szCs w:val="20"/>
        </w:rPr>
        <w:t xml:space="preserve">. </w:t>
      </w:r>
    </w:p>
    <w:p w14:paraId="56D008B3" w14:textId="68020699" w:rsidR="00FB6866" w:rsidRPr="009A71FD" w:rsidRDefault="00FB6866" w:rsidP="009A71FD">
      <w:pPr>
        <w:pStyle w:val="ParaOpener"/>
        <w:rPr>
          <w:lang w:val="en-US"/>
        </w:rPr>
      </w:pPr>
      <w:r w:rsidRPr="009A71FD">
        <w:rPr>
          <w:lang w:val="en-US"/>
        </w:rPr>
        <w:t xml:space="preserve">Output </w:t>
      </w:r>
      <w:r w:rsidR="007A7786" w:rsidRPr="009A71FD">
        <w:rPr>
          <w:lang w:val="en-US"/>
        </w:rPr>
        <w:t>1</w:t>
      </w:r>
      <w:r w:rsidRPr="009A71FD">
        <w:rPr>
          <w:lang w:val="en-US"/>
        </w:rPr>
        <w:t>.</w:t>
      </w:r>
      <w:r w:rsidR="007A7786" w:rsidRPr="009A71FD">
        <w:rPr>
          <w:lang w:val="en-US"/>
        </w:rPr>
        <w:t>2</w:t>
      </w:r>
      <w:r w:rsidRPr="009A71FD">
        <w:rPr>
          <w:lang w:val="en-US"/>
        </w:rPr>
        <w:t xml:space="preserve">: An analysis of results of the Satisfaction Survey </w:t>
      </w:r>
    </w:p>
    <w:p w14:paraId="672E1765" w14:textId="7010A080" w:rsidR="00FB6866" w:rsidRPr="00017945" w:rsidRDefault="008E49BF" w:rsidP="00CE1784">
      <w:pPr>
        <w:rPr>
          <w:b/>
          <w:bCs/>
          <w:i/>
          <w:iCs/>
          <w:sz w:val="20"/>
          <w:szCs w:val="20"/>
        </w:rPr>
      </w:pPr>
      <w:r w:rsidRPr="00017945">
        <w:rPr>
          <w:b/>
          <w:bCs/>
          <w:i/>
          <w:iCs/>
          <w:sz w:val="20"/>
          <w:szCs w:val="20"/>
        </w:rPr>
        <w:t xml:space="preserve">Activity </w:t>
      </w:r>
      <w:r w:rsidR="007A7786" w:rsidRPr="00017945">
        <w:rPr>
          <w:b/>
          <w:bCs/>
          <w:i/>
          <w:iCs/>
          <w:sz w:val="20"/>
          <w:szCs w:val="20"/>
        </w:rPr>
        <w:t>1</w:t>
      </w:r>
      <w:r w:rsidRPr="00017945">
        <w:rPr>
          <w:b/>
          <w:bCs/>
          <w:i/>
          <w:iCs/>
          <w:sz w:val="20"/>
          <w:szCs w:val="20"/>
        </w:rPr>
        <w:t>.</w:t>
      </w:r>
      <w:r w:rsidR="007A7786" w:rsidRPr="00017945">
        <w:rPr>
          <w:b/>
          <w:bCs/>
          <w:i/>
          <w:iCs/>
          <w:sz w:val="20"/>
          <w:szCs w:val="20"/>
        </w:rPr>
        <w:t>2</w:t>
      </w:r>
      <w:r w:rsidRPr="00017945">
        <w:rPr>
          <w:b/>
          <w:bCs/>
          <w:i/>
          <w:iCs/>
          <w:sz w:val="20"/>
          <w:szCs w:val="20"/>
        </w:rPr>
        <w:t xml:space="preserve">.1: Support data collection </w:t>
      </w:r>
    </w:p>
    <w:p w14:paraId="45E372D5" w14:textId="34B738F5" w:rsidR="00B73B04" w:rsidRPr="00B73B04" w:rsidRDefault="00674D3F" w:rsidP="00CF7843">
      <w:pPr>
        <w:jc w:val="both"/>
        <w:rPr>
          <w:lang w:val="en-US"/>
        </w:rPr>
      </w:pPr>
      <w:r w:rsidRPr="00674D3F">
        <w:rPr>
          <w:sz w:val="20"/>
          <w:szCs w:val="20"/>
          <w:lang w:val="en-US"/>
        </w:rPr>
        <w:t>The development of a Measurement Framework and accompanying Survey Questionnaire led to the deployment of a Population Survey between October and November 2024 that measured both user and non-user satisfaction with public services delivered through 15 Life Events. The general Population Survey gathered responses from 15 178 users and 5 081 non-users across the ten participating EU Member States.</w:t>
      </w:r>
      <w:r w:rsidR="00224D1D" w:rsidRPr="00224D1D">
        <w:rPr>
          <w:vertAlign w:val="superscript"/>
          <w:lang w:val="en-US"/>
        </w:rPr>
        <w:t xml:space="preserve"> </w:t>
      </w:r>
      <w:r w:rsidR="00224D1D" w:rsidRPr="00BF3088">
        <w:rPr>
          <w:vertAlign w:val="superscript"/>
          <w:lang w:val="en-US"/>
        </w:rPr>
        <w:footnoteReference w:id="1"/>
      </w:r>
    </w:p>
    <w:p w14:paraId="798ABEF0" w14:textId="5B1757F8" w:rsidR="008E49BF" w:rsidRPr="00017945" w:rsidRDefault="008E49BF" w:rsidP="00CE1784">
      <w:pPr>
        <w:rPr>
          <w:i/>
          <w:iCs/>
          <w:sz w:val="20"/>
          <w:szCs w:val="20"/>
          <w:lang w:val="en-US"/>
        </w:rPr>
      </w:pPr>
      <w:r w:rsidRPr="00017945">
        <w:rPr>
          <w:b/>
          <w:bCs/>
          <w:i/>
          <w:iCs/>
          <w:sz w:val="20"/>
          <w:szCs w:val="20"/>
          <w:lang w:val="en-US"/>
        </w:rPr>
        <w:t xml:space="preserve">Activity </w:t>
      </w:r>
      <w:r w:rsidR="007A7786" w:rsidRPr="00017945">
        <w:rPr>
          <w:b/>
          <w:bCs/>
          <w:i/>
          <w:iCs/>
          <w:sz w:val="20"/>
          <w:szCs w:val="20"/>
          <w:lang w:val="en-US"/>
        </w:rPr>
        <w:t>1</w:t>
      </w:r>
      <w:r w:rsidRPr="00017945">
        <w:rPr>
          <w:b/>
          <w:bCs/>
          <w:i/>
          <w:iCs/>
          <w:sz w:val="20"/>
          <w:szCs w:val="20"/>
          <w:lang w:val="en-US"/>
        </w:rPr>
        <w:t xml:space="preserve">.1.2: </w:t>
      </w:r>
      <w:proofErr w:type="spellStart"/>
      <w:r w:rsidRPr="00017945">
        <w:rPr>
          <w:b/>
          <w:bCs/>
          <w:i/>
          <w:iCs/>
          <w:sz w:val="20"/>
          <w:szCs w:val="20"/>
          <w:lang w:val="en-US"/>
        </w:rPr>
        <w:t>Analyse</w:t>
      </w:r>
      <w:proofErr w:type="spellEnd"/>
      <w:r w:rsidRPr="00017945">
        <w:rPr>
          <w:b/>
          <w:bCs/>
          <w:i/>
          <w:iCs/>
          <w:sz w:val="20"/>
          <w:szCs w:val="20"/>
          <w:lang w:val="en-US"/>
        </w:rPr>
        <w:t xml:space="preserve"> and draft briefs with survey results by country</w:t>
      </w:r>
    </w:p>
    <w:p w14:paraId="55B60D85" w14:textId="5C237B2C" w:rsidR="007C5B24" w:rsidRDefault="007C5B24" w:rsidP="00CF7843">
      <w:pPr>
        <w:jc w:val="both"/>
        <w:rPr>
          <w:b/>
          <w:bCs/>
          <w:sz w:val="20"/>
          <w:szCs w:val="20"/>
          <w:lang w:val="en-US"/>
        </w:rPr>
      </w:pPr>
      <w:r w:rsidRPr="007C5B24">
        <w:rPr>
          <w:sz w:val="20"/>
          <w:szCs w:val="20"/>
          <w:lang w:val="en-US"/>
        </w:rPr>
        <w:t xml:space="preserve">The TSI Satisfaction Survey enabled participating countries to gather data on, amongst others, overall user and non-user satisfaction with public services in the country, satisfaction with specific Life Events experienced, types of channels used to access public services, frequency of Life Events over a 12-month period, and areas of improvement identified by users. Moreover, the Survey enabled the </w:t>
      </w:r>
      <w:r w:rsidRPr="007C5B24">
        <w:rPr>
          <w:b/>
          <w:bCs/>
          <w:sz w:val="20"/>
          <w:szCs w:val="20"/>
          <w:lang w:val="en-US"/>
        </w:rPr>
        <w:t>identification of nine key drivers of satisfaction with public administrative services</w:t>
      </w:r>
      <w:r w:rsidR="00CF7843">
        <w:rPr>
          <w:b/>
          <w:bCs/>
          <w:sz w:val="20"/>
          <w:szCs w:val="20"/>
          <w:lang w:val="en-US"/>
        </w:rPr>
        <w:t xml:space="preserve"> </w:t>
      </w:r>
      <w:r w:rsidR="00CF7843" w:rsidRPr="00CF7843">
        <w:rPr>
          <w:sz w:val="20"/>
          <w:szCs w:val="20"/>
          <w:lang w:val="en-US"/>
        </w:rPr>
        <w:t>(Figure 5)</w:t>
      </w:r>
      <w:r w:rsidRPr="00CF7843">
        <w:rPr>
          <w:sz w:val="20"/>
          <w:szCs w:val="20"/>
          <w:lang w:val="en-US"/>
        </w:rPr>
        <w:t>.</w:t>
      </w:r>
      <w:r>
        <w:rPr>
          <w:b/>
          <w:bCs/>
          <w:sz w:val="20"/>
          <w:szCs w:val="20"/>
          <w:lang w:val="en-US"/>
        </w:rPr>
        <w:t xml:space="preserve"> </w:t>
      </w:r>
    </w:p>
    <w:p w14:paraId="236E05E0" w14:textId="231162AC" w:rsidR="007C5B24" w:rsidRDefault="002F0777" w:rsidP="002F0777">
      <w:pPr>
        <w:pStyle w:val="Caption"/>
      </w:pPr>
      <w:r>
        <w:lastRenderedPageBreak/>
        <w:t xml:space="preserve">Figure </w:t>
      </w:r>
      <w:r>
        <w:fldChar w:fldCharType="begin"/>
      </w:r>
      <w:r>
        <w:instrText xml:space="preserve"> SEQ Figure \* ARABIC </w:instrText>
      </w:r>
      <w:r>
        <w:fldChar w:fldCharType="separate"/>
      </w:r>
      <w:r w:rsidR="00BF6E6E">
        <w:rPr>
          <w:noProof/>
        </w:rPr>
        <w:t>5</w:t>
      </w:r>
      <w:r>
        <w:fldChar w:fldCharType="end"/>
      </w:r>
      <w:r>
        <w:t xml:space="preserve"> </w:t>
      </w:r>
      <w:r w:rsidR="009D39C0">
        <w:t xml:space="preserve">Key drivers of citizen satisfaction </w:t>
      </w:r>
      <w:r w:rsidR="00A02872">
        <w:t xml:space="preserve">with public services </w:t>
      </w:r>
      <w:r w:rsidR="000E3D06">
        <w:t xml:space="preserve">delivered through Life Events </w:t>
      </w:r>
    </w:p>
    <w:p w14:paraId="58D4CA87" w14:textId="7FA62CEE" w:rsidR="000E3D06" w:rsidRDefault="00135CC7" w:rsidP="000E3D06">
      <w:pPr>
        <w:rPr>
          <w:lang w:val="en-US"/>
        </w:rPr>
      </w:pPr>
      <w:r w:rsidRPr="0021574F">
        <w:rPr>
          <w:i/>
          <w:noProof/>
        </w:rPr>
        <w:drawing>
          <wp:inline distT="0" distB="0" distL="0" distR="0" wp14:anchorId="2516B32E" wp14:editId="462122B8">
            <wp:extent cx="5731510" cy="3402071"/>
            <wp:effectExtent l="0" t="0" r="2540" b="8255"/>
            <wp:docPr id="34" name="Picture 33" descr="A diagram of a service&#10;&#10;AI-generated content may be incorrect.">
              <a:extLst xmlns:a="http://schemas.openxmlformats.org/drawingml/2006/main">
                <a:ext uri="{FF2B5EF4-FFF2-40B4-BE49-F238E27FC236}">
                  <a16:creationId xmlns:a16="http://schemas.microsoft.com/office/drawing/2014/main" id="{51D663D3-9634-6EF2-16CB-9BD4D85D37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3" descr="A diagram of a service&#10;&#10;AI-generated content may be incorrect.">
                      <a:extLst>
                        <a:ext uri="{FF2B5EF4-FFF2-40B4-BE49-F238E27FC236}">
                          <a16:creationId xmlns:a16="http://schemas.microsoft.com/office/drawing/2014/main" id="{51D663D3-9634-6EF2-16CB-9BD4D85D37FD}"/>
                        </a:ext>
                      </a:extLst>
                    </pic:cNvPr>
                    <pic:cNvPicPr>
                      <a:picLocks noChangeAspect="1"/>
                    </pic:cNvPicPr>
                  </pic:nvPicPr>
                  <pic:blipFill>
                    <a:blip r:embed="rId12"/>
                    <a:stretch>
                      <a:fillRect/>
                    </a:stretch>
                  </pic:blipFill>
                  <pic:spPr>
                    <a:xfrm>
                      <a:off x="0" y="0"/>
                      <a:ext cx="5731510" cy="3402071"/>
                    </a:xfrm>
                    <a:prstGeom prst="rect">
                      <a:avLst/>
                    </a:prstGeom>
                  </pic:spPr>
                </pic:pic>
              </a:graphicData>
            </a:graphic>
          </wp:inline>
        </w:drawing>
      </w:r>
    </w:p>
    <w:p w14:paraId="369FBE71" w14:textId="77777777" w:rsidR="00F1090F" w:rsidRPr="00017945" w:rsidRDefault="00F1090F" w:rsidP="00F1090F">
      <w:pPr>
        <w:pStyle w:val="Sourcenotes"/>
        <w:rPr>
          <w:sz w:val="16"/>
          <w:szCs w:val="20"/>
          <w:lang w:val="en-US"/>
        </w:rPr>
      </w:pPr>
      <w:r w:rsidRPr="00017945">
        <w:rPr>
          <w:sz w:val="16"/>
          <w:szCs w:val="20"/>
          <w:lang w:val="en-US"/>
        </w:rPr>
        <w:t xml:space="preserve">Source: EC-OECD Project on Measuring Citizen’s Satisfaction with key Government Services </w:t>
      </w:r>
    </w:p>
    <w:p w14:paraId="18B77D77" w14:textId="7F392252" w:rsidR="008E49BF" w:rsidRPr="00017945" w:rsidRDefault="008E49BF" w:rsidP="00CF7843">
      <w:pPr>
        <w:jc w:val="both"/>
        <w:rPr>
          <w:sz w:val="20"/>
          <w:szCs w:val="20"/>
          <w:lang w:val="en-US"/>
        </w:rPr>
      </w:pPr>
      <w:r w:rsidRPr="00017945">
        <w:rPr>
          <w:sz w:val="20"/>
          <w:szCs w:val="20"/>
          <w:lang w:val="en-US"/>
        </w:rPr>
        <w:t xml:space="preserve">Individual Country Briefs were drafted by the Project. Each Country Brief presented the results of the TSI Satisfaction Survey for the </w:t>
      </w:r>
      <w:r w:rsidR="00CF7843">
        <w:rPr>
          <w:sz w:val="20"/>
          <w:szCs w:val="20"/>
          <w:lang w:val="en-US"/>
        </w:rPr>
        <w:t>EU Member States</w:t>
      </w:r>
      <w:r w:rsidRPr="00017945">
        <w:rPr>
          <w:sz w:val="20"/>
          <w:szCs w:val="20"/>
          <w:lang w:val="en-US"/>
        </w:rPr>
        <w:t xml:space="preserve">, identifying the key drivers of satisfaction. Moreover, the Country Briefs provided focused analysis on satisfaction with two Life Events selected by each of the </w:t>
      </w:r>
      <w:r w:rsidR="00CF7843">
        <w:rPr>
          <w:sz w:val="20"/>
          <w:szCs w:val="20"/>
          <w:lang w:val="en-US"/>
        </w:rPr>
        <w:t>beneficiary Member States</w:t>
      </w:r>
      <w:r w:rsidRPr="00017945">
        <w:rPr>
          <w:sz w:val="20"/>
          <w:szCs w:val="20"/>
          <w:lang w:val="en-US"/>
        </w:rPr>
        <w:t xml:space="preserve">. Based on the Survey Results, the Country Briefs also presented a Priority Matrix of key drivers on which the country should focus their public service reforms. </w:t>
      </w:r>
    </w:p>
    <w:p w14:paraId="3A4A1523" w14:textId="3FAD08AF" w:rsidR="008E49BF" w:rsidRPr="00017945" w:rsidRDefault="008E49BF" w:rsidP="00CE1784">
      <w:pPr>
        <w:rPr>
          <w:i/>
          <w:iCs/>
          <w:sz w:val="20"/>
          <w:szCs w:val="20"/>
          <w:lang w:val="en-US"/>
        </w:rPr>
      </w:pPr>
      <w:r w:rsidRPr="00017945">
        <w:rPr>
          <w:b/>
          <w:bCs/>
          <w:i/>
          <w:iCs/>
          <w:sz w:val="20"/>
          <w:szCs w:val="20"/>
          <w:lang w:val="en-US"/>
        </w:rPr>
        <w:t xml:space="preserve">Activity </w:t>
      </w:r>
      <w:r w:rsidR="007A7786" w:rsidRPr="00017945">
        <w:rPr>
          <w:b/>
          <w:bCs/>
          <w:i/>
          <w:iCs/>
          <w:sz w:val="20"/>
          <w:szCs w:val="20"/>
          <w:lang w:val="en-US"/>
        </w:rPr>
        <w:t>1</w:t>
      </w:r>
      <w:r w:rsidRPr="00017945">
        <w:rPr>
          <w:b/>
          <w:bCs/>
          <w:i/>
          <w:iCs/>
          <w:sz w:val="20"/>
          <w:szCs w:val="20"/>
          <w:lang w:val="en-US"/>
        </w:rPr>
        <w:t>.</w:t>
      </w:r>
      <w:r w:rsidR="007A7786" w:rsidRPr="00017945">
        <w:rPr>
          <w:b/>
          <w:bCs/>
          <w:i/>
          <w:iCs/>
          <w:sz w:val="20"/>
          <w:szCs w:val="20"/>
          <w:lang w:val="en-US"/>
        </w:rPr>
        <w:t>2</w:t>
      </w:r>
      <w:r w:rsidRPr="00017945">
        <w:rPr>
          <w:b/>
          <w:bCs/>
          <w:i/>
          <w:iCs/>
          <w:sz w:val="20"/>
          <w:szCs w:val="20"/>
          <w:lang w:val="en-US"/>
        </w:rPr>
        <w:t>.3: Prepare a guidance paper outlining how to use the methodology and adapt the questionnaire to carry out new surveys</w:t>
      </w:r>
      <w:r w:rsidRPr="00017945">
        <w:rPr>
          <w:i/>
          <w:iCs/>
          <w:sz w:val="20"/>
          <w:szCs w:val="20"/>
          <w:lang w:val="en-US"/>
        </w:rPr>
        <w:t xml:space="preserve"> </w:t>
      </w:r>
    </w:p>
    <w:p w14:paraId="78E1ADA3" w14:textId="40E15DD7" w:rsidR="008F6BC3" w:rsidRDefault="008E49BF" w:rsidP="00CF7843">
      <w:pPr>
        <w:jc w:val="both"/>
        <w:rPr>
          <w:sz w:val="20"/>
          <w:szCs w:val="20"/>
          <w:lang w:val="en-US"/>
        </w:rPr>
      </w:pPr>
      <w:r w:rsidRPr="00017945">
        <w:rPr>
          <w:sz w:val="20"/>
          <w:szCs w:val="20"/>
          <w:lang w:val="en-US"/>
        </w:rPr>
        <w:t>A</w:t>
      </w:r>
      <w:r w:rsidR="00EC3ACA">
        <w:rPr>
          <w:sz w:val="20"/>
          <w:szCs w:val="20"/>
          <w:lang w:val="en-US"/>
        </w:rPr>
        <w:t xml:space="preserve"> Guidance Paper entitled</w:t>
      </w:r>
      <w:r w:rsidRPr="00017945">
        <w:rPr>
          <w:sz w:val="20"/>
          <w:szCs w:val="20"/>
          <w:lang w:val="en-US"/>
        </w:rPr>
        <w:t xml:space="preserve"> </w:t>
      </w:r>
      <w:r w:rsidR="00EC3ACA">
        <w:rPr>
          <w:sz w:val="20"/>
          <w:szCs w:val="20"/>
          <w:lang w:val="en-US"/>
        </w:rPr>
        <w:t>‘</w:t>
      </w:r>
      <w:r w:rsidRPr="004851EE">
        <w:rPr>
          <w:b/>
          <w:bCs/>
          <w:sz w:val="20"/>
          <w:szCs w:val="20"/>
          <w:lang w:val="en-US"/>
        </w:rPr>
        <w:t xml:space="preserve">Practitioner’s Guide on Satisfaction </w:t>
      </w:r>
      <w:proofErr w:type="gramStart"/>
      <w:r w:rsidRPr="004851EE">
        <w:rPr>
          <w:b/>
          <w:bCs/>
          <w:sz w:val="20"/>
          <w:szCs w:val="20"/>
          <w:lang w:val="en-US"/>
        </w:rPr>
        <w:t>Surveys</w:t>
      </w:r>
      <w:r w:rsidR="00EC3ACA" w:rsidRPr="00EC3ACA">
        <w:rPr>
          <w:sz w:val="20"/>
          <w:szCs w:val="20"/>
          <w:lang w:val="en-US"/>
        </w:rPr>
        <w:t>’</w:t>
      </w:r>
      <w:proofErr w:type="gramEnd"/>
      <w:r w:rsidRPr="00017945">
        <w:rPr>
          <w:sz w:val="20"/>
          <w:szCs w:val="20"/>
          <w:lang w:val="en-US"/>
        </w:rPr>
        <w:t xml:space="preserve"> was prepared by the Project </w:t>
      </w:r>
      <w:r w:rsidR="00CF7843">
        <w:rPr>
          <w:sz w:val="20"/>
          <w:szCs w:val="20"/>
          <w:lang w:val="en-US"/>
        </w:rPr>
        <w:t>that</w:t>
      </w:r>
      <w:r w:rsidR="00EC3ACA">
        <w:rPr>
          <w:sz w:val="20"/>
          <w:szCs w:val="20"/>
          <w:lang w:val="en-US"/>
        </w:rPr>
        <w:t xml:space="preserve"> aimed to equip</w:t>
      </w:r>
      <w:r w:rsidRPr="00017945">
        <w:rPr>
          <w:sz w:val="20"/>
          <w:szCs w:val="20"/>
          <w:lang w:val="en-US"/>
        </w:rPr>
        <w:t xml:space="preserve"> public officials with a step-by-step guide on how to design, deploy and </w:t>
      </w:r>
      <w:proofErr w:type="spellStart"/>
      <w:r w:rsidRPr="00017945">
        <w:rPr>
          <w:sz w:val="20"/>
          <w:szCs w:val="20"/>
          <w:lang w:val="en-US"/>
        </w:rPr>
        <w:t>analyse</w:t>
      </w:r>
      <w:proofErr w:type="spellEnd"/>
      <w:r w:rsidRPr="00017945">
        <w:rPr>
          <w:sz w:val="20"/>
          <w:szCs w:val="20"/>
          <w:lang w:val="en-US"/>
        </w:rPr>
        <w:t xml:space="preserve"> a Satisfaction Survey. The Guide was developed to also include lessons learnt from the deployed Satisfaction Survey in Autumn 2024. </w:t>
      </w:r>
    </w:p>
    <w:p w14:paraId="1F1AE534" w14:textId="4BFFE955" w:rsidR="008F6BC3" w:rsidRDefault="008F6BC3" w:rsidP="00CF7843">
      <w:pPr>
        <w:jc w:val="both"/>
        <w:rPr>
          <w:sz w:val="20"/>
          <w:szCs w:val="20"/>
          <w:lang w:val="en-US"/>
        </w:rPr>
      </w:pPr>
      <w:r>
        <w:rPr>
          <w:sz w:val="20"/>
          <w:szCs w:val="20"/>
          <w:lang w:val="en-US"/>
        </w:rPr>
        <w:t xml:space="preserve">The Practitioner’s Guide had three key objectives: </w:t>
      </w:r>
      <w:r w:rsidR="00D7304A">
        <w:rPr>
          <w:sz w:val="20"/>
          <w:szCs w:val="20"/>
          <w:lang w:val="en-US"/>
        </w:rPr>
        <w:t>(i) Support Countries in developing more human-</w:t>
      </w:r>
      <w:proofErr w:type="spellStart"/>
      <w:r w:rsidR="00D7304A">
        <w:rPr>
          <w:sz w:val="20"/>
          <w:szCs w:val="20"/>
          <w:lang w:val="en-US"/>
        </w:rPr>
        <w:t>centred</w:t>
      </w:r>
      <w:proofErr w:type="spellEnd"/>
      <w:r w:rsidR="00D7304A">
        <w:rPr>
          <w:sz w:val="20"/>
          <w:szCs w:val="20"/>
          <w:lang w:val="en-US"/>
        </w:rPr>
        <w:t xml:space="preserve"> public administrative services through measuring user insights (ii) </w:t>
      </w:r>
      <w:r w:rsidR="00B4158A">
        <w:rPr>
          <w:sz w:val="20"/>
          <w:szCs w:val="20"/>
          <w:lang w:val="en-US"/>
        </w:rPr>
        <w:t xml:space="preserve">ensure the reusability of the methodology developed through the Project (iii) share lessons learnt from the TSI Satisfaction Survey as well as sharing good practices with countries. </w:t>
      </w:r>
    </w:p>
    <w:p w14:paraId="337F69E7" w14:textId="58629639" w:rsidR="00B4158A" w:rsidRDefault="00B4158A" w:rsidP="00B4158A">
      <w:pPr>
        <w:pStyle w:val="Caption"/>
      </w:pPr>
      <w:r>
        <w:lastRenderedPageBreak/>
        <w:t xml:space="preserve">Figure </w:t>
      </w:r>
      <w:r>
        <w:fldChar w:fldCharType="begin"/>
      </w:r>
      <w:r>
        <w:instrText xml:space="preserve"> SEQ Figure \* ARABIC </w:instrText>
      </w:r>
      <w:r>
        <w:fldChar w:fldCharType="separate"/>
      </w:r>
      <w:r w:rsidR="00BF6E6E">
        <w:rPr>
          <w:noProof/>
        </w:rPr>
        <w:t>6</w:t>
      </w:r>
      <w:r>
        <w:fldChar w:fldCharType="end"/>
      </w:r>
      <w:r>
        <w:t xml:space="preserve"> Key objectives of Practitioner’s Guide on Satisfaction Surveys </w:t>
      </w:r>
    </w:p>
    <w:p w14:paraId="4A47440A" w14:textId="46816869" w:rsidR="00B4158A" w:rsidRPr="00B4158A" w:rsidRDefault="00C51FE9" w:rsidP="00C51FE9">
      <w:pPr>
        <w:pStyle w:val="ParaOpener"/>
        <w:spacing w:line="240" w:lineRule="auto"/>
        <w:jc w:val="center"/>
        <w:rPr>
          <w:lang w:val="en-US"/>
        </w:rPr>
      </w:pPr>
      <w:r w:rsidRPr="00C51FE9">
        <w:drawing>
          <wp:inline distT="0" distB="0" distL="0" distR="0" wp14:anchorId="6D8F689F" wp14:editId="02DC3E64">
            <wp:extent cx="5017625" cy="3101966"/>
            <wp:effectExtent l="0" t="0" r="0" b="3810"/>
            <wp:docPr id="5305391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539176" name=""/>
                    <pic:cNvPicPr/>
                  </pic:nvPicPr>
                  <pic:blipFill>
                    <a:blip r:embed="rId13"/>
                    <a:stretch>
                      <a:fillRect/>
                    </a:stretch>
                  </pic:blipFill>
                  <pic:spPr>
                    <a:xfrm>
                      <a:off x="0" y="0"/>
                      <a:ext cx="5027737" cy="3108217"/>
                    </a:xfrm>
                    <a:prstGeom prst="rect">
                      <a:avLst/>
                    </a:prstGeom>
                  </pic:spPr>
                </pic:pic>
              </a:graphicData>
            </a:graphic>
          </wp:inline>
        </w:drawing>
      </w:r>
    </w:p>
    <w:p w14:paraId="1A7D6053" w14:textId="77777777" w:rsidR="00F1090F" w:rsidRPr="00017945" w:rsidRDefault="00F1090F" w:rsidP="00F1090F">
      <w:pPr>
        <w:pStyle w:val="Sourcenotes"/>
        <w:rPr>
          <w:sz w:val="16"/>
          <w:szCs w:val="20"/>
          <w:lang w:val="en-US"/>
        </w:rPr>
      </w:pPr>
      <w:r w:rsidRPr="00017945">
        <w:rPr>
          <w:sz w:val="16"/>
          <w:szCs w:val="20"/>
          <w:lang w:val="en-US"/>
        </w:rPr>
        <w:t xml:space="preserve">Source: EC-OECD Project on Measuring Citizen’s Satisfaction with key Government Services </w:t>
      </w:r>
    </w:p>
    <w:p w14:paraId="1C94EAAC" w14:textId="726914C5" w:rsidR="008E49BF" w:rsidRDefault="001C34A2" w:rsidP="001C34A2">
      <w:pPr>
        <w:jc w:val="both"/>
        <w:rPr>
          <w:sz w:val="20"/>
          <w:szCs w:val="20"/>
          <w:lang w:val="en-US"/>
        </w:rPr>
      </w:pPr>
      <w:r>
        <w:rPr>
          <w:sz w:val="20"/>
          <w:szCs w:val="20"/>
          <w:lang w:val="en-US"/>
        </w:rPr>
        <w:t>To ensure that</w:t>
      </w:r>
      <w:r w:rsidR="00C51FE9">
        <w:rPr>
          <w:sz w:val="20"/>
          <w:szCs w:val="20"/>
          <w:lang w:val="en-US"/>
        </w:rPr>
        <w:t xml:space="preserve"> the TSI Satisfaction Survey could be reused for future Satisfaction Surveys in the beneficiary EU Member States, a step-by-step approach was developed for designing and conducting Satisfaction Survey. </w:t>
      </w:r>
      <w:r>
        <w:rPr>
          <w:sz w:val="20"/>
          <w:szCs w:val="20"/>
          <w:lang w:val="en-US"/>
        </w:rPr>
        <w:t>Figure 7</w:t>
      </w:r>
      <w:r w:rsidR="00CA2725">
        <w:rPr>
          <w:sz w:val="20"/>
          <w:szCs w:val="20"/>
          <w:lang w:val="en-US"/>
        </w:rPr>
        <w:t xml:space="preserve"> below presents the key steps of focus in this Practitioner’s Guide. </w:t>
      </w:r>
    </w:p>
    <w:p w14:paraId="6D76BF18" w14:textId="5D580BA7" w:rsidR="00FF5278" w:rsidRDefault="00CA2725" w:rsidP="00CA2725">
      <w:pPr>
        <w:pStyle w:val="Caption"/>
      </w:pPr>
      <w:r>
        <w:lastRenderedPageBreak/>
        <w:t xml:space="preserve">Figure </w:t>
      </w:r>
      <w:r>
        <w:fldChar w:fldCharType="begin"/>
      </w:r>
      <w:r>
        <w:instrText xml:space="preserve"> SEQ Figure \* ARABIC </w:instrText>
      </w:r>
      <w:r>
        <w:fldChar w:fldCharType="separate"/>
      </w:r>
      <w:r w:rsidR="00BF6E6E">
        <w:rPr>
          <w:noProof/>
        </w:rPr>
        <w:t>7</w:t>
      </w:r>
      <w:r>
        <w:fldChar w:fldCharType="end"/>
      </w:r>
      <w:r>
        <w:t xml:space="preserve"> </w:t>
      </w:r>
      <w:r w:rsidR="00E03963">
        <w:t xml:space="preserve">Six key steps of </w:t>
      </w:r>
      <w:r w:rsidR="00FF5278">
        <w:t xml:space="preserve">User Satisfaction Survey </w:t>
      </w:r>
    </w:p>
    <w:p w14:paraId="05B4EC49" w14:textId="7F8DF254" w:rsidR="00CA2725" w:rsidRPr="00017945" w:rsidRDefault="00FF5278" w:rsidP="00FF5278">
      <w:pPr>
        <w:pStyle w:val="Caption"/>
        <w:spacing w:line="240" w:lineRule="auto"/>
        <w:rPr>
          <w:sz w:val="20"/>
          <w:szCs w:val="20"/>
          <w:lang w:val="en-US"/>
        </w:rPr>
      </w:pPr>
      <w:r w:rsidRPr="00371A7E">
        <w:rPr>
          <w:noProof/>
        </w:rPr>
        <w:drawing>
          <wp:inline distT="0" distB="0" distL="0" distR="0" wp14:anchorId="03966F0A" wp14:editId="6F31268B">
            <wp:extent cx="5731510" cy="3353379"/>
            <wp:effectExtent l="0" t="0" r="2540" b="0"/>
            <wp:docPr id="894764802" name="Picture 1" descr="A number of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764802" name="Picture 1" descr="A number of text on a white background&#10;&#10;AI-generated content may be incorrect."/>
                    <pic:cNvPicPr/>
                  </pic:nvPicPr>
                  <pic:blipFill>
                    <a:blip r:embed="rId14"/>
                    <a:stretch>
                      <a:fillRect/>
                    </a:stretch>
                  </pic:blipFill>
                  <pic:spPr>
                    <a:xfrm>
                      <a:off x="0" y="0"/>
                      <a:ext cx="5731510" cy="3353379"/>
                    </a:xfrm>
                    <a:prstGeom prst="rect">
                      <a:avLst/>
                    </a:prstGeom>
                  </pic:spPr>
                </pic:pic>
              </a:graphicData>
            </a:graphic>
          </wp:inline>
        </w:drawing>
      </w:r>
      <w:r w:rsidR="00CA2725">
        <w:t xml:space="preserve"> </w:t>
      </w:r>
    </w:p>
    <w:p w14:paraId="35EBCEC9" w14:textId="77777777" w:rsidR="00F1090F" w:rsidRPr="00017945" w:rsidRDefault="00F1090F" w:rsidP="00F1090F">
      <w:pPr>
        <w:pStyle w:val="Sourcenotes"/>
        <w:rPr>
          <w:sz w:val="16"/>
          <w:szCs w:val="20"/>
          <w:lang w:val="en-US"/>
        </w:rPr>
      </w:pPr>
      <w:r w:rsidRPr="00017945">
        <w:rPr>
          <w:sz w:val="16"/>
          <w:szCs w:val="20"/>
          <w:lang w:val="en-US"/>
        </w:rPr>
        <w:t xml:space="preserve">Source: EC-OECD Project on Measuring Citizen’s Satisfaction with key Government Services </w:t>
      </w:r>
    </w:p>
    <w:p w14:paraId="06C329F6" w14:textId="150705DD" w:rsidR="008E49BF" w:rsidRPr="00017945" w:rsidRDefault="008E49BF" w:rsidP="00CE1784">
      <w:pPr>
        <w:rPr>
          <w:sz w:val="20"/>
          <w:szCs w:val="20"/>
        </w:rPr>
      </w:pPr>
      <w:r w:rsidRPr="00017945">
        <w:rPr>
          <w:b/>
          <w:bCs/>
          <w:i/>
          <w:iCs/>
          <w:sz w:val="20"/>
          <w:szCs w:val="20"/>
          <w:lang w:val="en-US"/>
        </w:rPr>
        <w:t xml:space="preserve">Activity </w:t>
      </w:r>
      <w:r w:rsidR="007A7786" w:rsidRPr="00017945">
        <w:rPr>
          <w:b/>
          <w:bCs/>
          <w:i/>
          <w:iCs/>
          <w:sz w:val="20"/>
          <w:szCs w:val="20"/>
          <w:lang w:val="en-US"/>
        </w:rPr>
        <w:t>1</w:t>
      </w:r>
      <w:r w:rsidRPr="00017945">
        <w:rPr>
          <w:b/>
          <w:bCs/>
          <w:i/>
          <w:iCs/>
          <w:sz w:val="20"/>
          <w:szCs w:val="20"/>
          <w:lang w:val="en-US"/>
        </w:rPr>
        <w:t>.</w:t>
      </w:r>
      <w:r w:rsidR="007A7786" w:rsidRPr="00017945">
        <w:rPr>
          <w:b/>
          <w:bCs/>
          <w:i/>
          <w:iCs/>
          <w:sz w:val="20"/>
          <w:szCs w:val="20"/>
          <w:lang w:val="en-US"/>
        </w:rPr>
        <w:t>2</w:t>
      </w:r>
      <w:r w:rsidRPr="00017945">
        <w:rPr>
          <w:b/>
          <w:bCs/>
          <w:i/>
          <w:iCs/>
          <w:sz w:val="20"/>
          <w:szCs w:val="20"/>
          <w:lang w:val="en-US"/>
        </w:rPr>
        <w:t xml:space="preserve">.4: </w:t>
      </w:r>
      <w:proofErr w:type="spellStart"/>
      <w:r w:rsidRPr="00017945">
        <w:rPr>
          <w:b/>
          <w:bCs/>
          <w:i/>
          <w:iCs/>
          <w:sz w:val="20"/>
          <w:szCs w:val="20"/>
          <w:lang w:val="en-US"/>
        </w:rPr>
        <w:t>Organise</w:t>
      </w:r>
      <w:proofErr w:type="spellEnd"/>
      <w:r w:rsidRPr="00017945">
        <w:rPr>
          <w:b/>
          <w:bCs/>
          <w:i/>
          <w:iCs/>
          <w:sz w:val="20"/>
          <w:szCs w:val="20"/>
          <w:lang w:val="en-US"/>
        </w:rPr>
        <w:t xml:space="preserve"> a Workshop on survey results and methodology </w:t>
      </w:r>
    </w:p>
    <w:p w14:paraId="10479D6A" w14:textId="2A1E0001" w:rsidR="008E49BF" w:rsidRPr="00017945" w:rsidRDefault="008E49BF" w:rsidP="00FA4C3C">
      <w:pPr>
        <w:jc w:val="both"/>
        <w:rPr>
          <w:sz w:val="20"/>
          <w:szCs w:val="20"/>
        </w:rPr>
      </w:pPr>
      <w:r w:rsidRPr="00017945">
        <w:rPr>
          <w:sz w:val="20"/>
          <w:szCs w:val="20"/>
        </w:rPr>
        <w:t>A Workshop on Measuring Citizen’s Satisfaction with public services was organised in Paris on 28 April 2025. The Workshop</w:t>
      </w:r>
      <w:r w:rsidR="00E378E4">
        <w:rPr>
          <w:sz w:val="20"/>
          <w:szCs w:val="20"/>
        </w:rPr>
        <w:t xml:space="preserve"> brought together members of the Advisory Group as well as representatives from other OECD and partner countries. The </w:t>
      </w:r>
      <w:r w:rsidR="006B2A3D">
        <w:rPr>
          <w:sz w:val="20"/>
          <w:szCs w:val="20"/>
        </w:rPr>
        <w:t xml:space="preserve">Workshop provided evidence on user satisfaction with key </w:t>
      </w:r>
      <w:r w:rsidR="00E645F6">
        <w:rPr>
          <w:sz w:val="20"/>
          <w:szCs w:val="20"/>
        </w:rPr>
        <w:t xml:space="preserve">aspects of public administrative services and discussed opportunities to use public feedback to improve the design and delivery of services. Moreover, it provided an opportunity for countries to exchange practices, challenges and achievements in focusing efforts </w:t>
      </w:r>
      <w:proofErr w:type="gramStart"/>
      <w:r w:rsidR="00E645F6">
        <w:rPr>
          <w:sz w:val="20"/>
          <w:szCs w:val="20"/>
        </w:rPr>
        <w:t>towards</w:t>
      </w:r>
      <w:proofErr w:type="gramEnd"/>
      <w:r w:rsidR="00E645F6">
        <w:rPr>
          <w:sz w:val="20"/>
          <w:szCs w:val="20"/>
        </w:rPr>
        <w:t xml:space="preserve"> more human-centred services, by reorganising design and delivery around the user journey and Life Events experienced by citizens. </w:t>
      </w:r>
      <w:r w:rsidR="00C8422E" w:rsidRPr="00017945">
        <w:rPr>
          <w:sz w:val="20"/>
          <w:szCs w:val="20"/>
        </w:rPr>
        <w:t xml:space="preserve"> </w:t>
      </w:r>
    </w:p>
    <w:p w14:paraId="63440E0A" w14:textId="21D3E472" w:rsidR="00C8422E" w:rsidRPr="009A71FD" w:rsidRDefault="00C8422E" w:rsidP="009A71FD">
      <w:pPr>
        <w:pStyle w:val="ParaOpener"/>
      </w:pPr>
      <w:r w:rsidRPr="00017945">
        <w:t>Output 2.1: Guidance Paper on establishing an enabling environment within government for making public services more user-centric</w:t>
      </w:r>
    </w:p>
    <w:p w14:paraId="7F9E57BE" w14:textId="7B817DB4" w:rsidR="00C8422E" w:rsidRPr="00017945" w:rsidRDefault="00C8422E" w:rsidP="00CE1784">
      <w:pPr>
        <w:rPr>
          <w:b/>
          <w:bCs/>
          <w:i/>
          <w:iCs/>
          <w:sz w:val="20"/>
          <w:szCs w:val="20"/>
        </w:rPr>
      </w:pPr>
      <w:r w:rsidRPr="00017945">
        <w:rPr>
          <w:b/>
          <w:bCs/>
          <w:i/>
          <w:iCs/>
          <w:sz w:val="20"/>
          <w:szCs w:val="20"/>
        </w:rPr>
        <w:t xml:space="preserve">Activity 2.1.1: Conduct interviews with beneficiary authorities </w:t>
      </w:r>
    </w:p>
    <w:p w14:paraId="3E1D012C" w14:textId="08552E59" w:rsidR="00C8422E" w:rsidRDefault="007A7786" w:rsidP="00FA4C3C">
      <w:pPr>
        <w:jc w:val="both"/>
        <w:rPr>
          <w:sz w:val="20"/>
          <w:szCs w:val="20"/>
          <w:lang w:val="en-US"/>
        </w:rPr>
      </w:pPr>
      <w:r w:rsidRPr="00017945">
        <w:rPr>
          <w:sz w:val="20"/>
          <w:szCs w:val="20"/>
          <w:lang w:val="en-US"/>
        </w:rPr>
        <w:t xml:space="preserve">In-country missions were held in each of the ten EU beneficiary Member States from March to October 2025. The aim of these </w:t>
      </w:r>
      <w:proofErr w:type="gramStart"/>
      <w:r w:rsidRPr="00017945">
        <w:rPr>
          <w:sz w:val="20"/>
          <w:szCs w:val="20"/>
          <w:lang w:val="en-US"/>
        </w:rPr>
        <w:t>country</w:t>
      </w:r>
      <w:proofErr w:type="gramEnd"/>
      <w:r w:rsidRPr="00017945">
        <w:rPr>
          <w:sz w:val="20"/>
          <w:szCs w:val="20"/>
          <w:lang w:val="en-US"/>
        </w:rPr>
        <w:t xml:space="preserve"> missions was to present the results of the Satisfaction Survey for each country as well as undertake in-depth interviews with representatives from public administrations. </w:t>
      </w:r>
      <w:r w:rsidR="004A28D6">
        <w:rPr>
          <w:sz w:val="20"/>
          <w:szCs w:val="20"/>
          <w:lang w:val="en-US"/>
        </w:rPr>
        <w:t xml:space="preserve">Each Country Mission was two to three days in duration. </w:t>
      </w:r>
    </w:p>
    <w:p w14:paraId="6E114994" w14:textId="3C625230" w:rsidR="00D942F1" w:rsidRDefault="00D942F1" w:rsidP="00CE1784">
      <w:pPr>
        <w:rPr>
          <w:b/>
          <w:bCs/>
          <w:i/>
          <w:iCs/>
          <w:sz w:val="20"/>
          <w:szCs w:val="20"/>
          <w:lang w:val="en-US"/>
        </w:rPr>
      </w:pPr>
      <w:r w:rsidRPr="00017945">
        <w:rPr>
          <w:b/>
          <w:bCs/>
          <w:i/>
          <w:iCs/>
          <w:sz w:val="20"/>
          <w:szCs w:val="20"/>
          <w:lang w:val="en-US"/>
        </w:rPr>
        <w:t xml:space="preserve">Activity 2.1.2: Draft a guidance paper on using data for user-centric government services </w:t>
      </w:r>
    </w:p>
    <w:p w14:paraId="38607753" w14:textId="3E39C3FE" w:rsidR="00D6329C" w:rsidRDefault="00D6329C" w:rsidP="00FA4C3C">
      <w:pPr>
        <w:jc w:val="both"/>
        <w:rPr>
          <w:sz w:val="20"/>
          <w:szCs w:val="20"/>
          <w:lang w:val="en-US"/>
        </w:rPr>
      </w:pPr>
      <w:r>
        <w:rPr>
          <w:sz w:val="20"/>
          <w:szCs w:val="20"/>
          <w:lang w:val="en-US"/>
        </w:rPr>
        <w:t xml:space="preserve">Based on the results of the data gathered through the Citizen Satisfaction Survey and the data gathered through Country Missions, a </w:t>
      </w:r>
      <w:r w:rsidRPr="00230B8C">
        <w:rPr>
          <w:b/>
          <w:bCs/>
          <w:sz w:val="20"/>
          <w:szCs w:val="20"/>
          <w:lang w:val="en-US"/>
        </w:rPr>
        <w:t xml:space="preserve">Guidance Paper on </w:t>
      </w:r>
      <w:r w:rsidR="00230B8C">
        <w:rPr>
          <w:b/>
          <w:bCs/>
          <w:sz w:val="20"/>
          <w:szCs w:val="20"/>
          <w:lang w:val="en-US"/>
        </w:rPr>
        <w:t xml:space="preserve">establishing </w:t>
      </w:r>
      <w:r w:rsidR="00063DDC">
        <w:rPr>
          <w:b/>
          <w:bCs/>
          <w:sz w:val="20"/>
          <w:szCs w:val="20"/>
          <w:lang w:val="en-US"/>
        </w:rPr>
        <w:t xml:space="preserve">an enabling environment within government </w:t>
      </w:r>
      <w:r w:rsidR="00A40FF4">
        <w:rPr>
          <w:b/>
          <w:bCs/>
          <w:sz w:val="20"/>
          <w:szCs w:val="20"/>
          <w:lang w:val="en-US"/>
        </w:rPr>
        <w:t xml:space="preserve">for making public services more user-centric </w:t>
      </w:r>
      <w:r w:rsidR="00A40FF4">
        <w:rPr>
          <w:sz w:val="20"/>
          <w:szCs w:val="20"/>
          <w:lang w:val="en-US"/>
        </w:rPr>
        <w:t xml:space="preserve">was drafted. </w:t>
      </w:r>
      <w:r w:rsidR="003F2559">
        <w:rPr>
          <w:sz w:val="20"/>
          <w:szCs w:val="20"/>
          <w:lang w:val="en-US"/>
        </w:rPr>
        <w:t>This Guidance Paper</w:t>
      </w:r>
      <w:r w:rsidR="00FC002A">
        <w:rPr>
          <w:sz w:val="20"/>
          <w:szCs w:val="20"/>
          <w:lang w:val="en-US"/>
        </w:rPr>
        <w:t xml:space="preserve"> placed a </w:t>
      </w:r>
      <w:r w:rsidR="00FC002A">
        <w:rPr>
          <w:sz w:val="20"/>
          <w:szCs w:val="20"/>
          <w:lang w:val="en-US"/>
        </w:rPr>
        <w:lastRenderedPageBreak/>
        <w:t>spotlight on the results of the TSI Satisfaction Survey and</w:t>
      </w:r>
      <w:r w:rsidR="003F2559">
        <w:rPr>
          <w:sz w:val="20"/>
          <w:szCs w:val="20"/>
          <w:lang w:val="en-US"/>
        </w:rPr>
        <w:t xml:space="preserve"> focused on </w:t>
      </w:r>
      <w:r w:rsidR="00C1272B">
        <w:rPr>
          <w:sz w:val="20"/>
          <w:szCs w:val="20"/>
          <w:lang w:val="en-US"/>
        </w:rPr>
        <w:t xml:space="preserve">practices put in place </w:t>
      </w:r>
      <w:r w:rsidR="00B24959">
        <w:rPr>
          <w:sz w:val="20"/>
          <w:szCs w:val="20"/>
          <w:lang w:val="en-US"/>
        </w:rPr>
        <w:t>in countries to deliver human-</w:t>
      </w:r>
      <w:proofErr w:type="spellStart"/>
      <w:r w:rsidR="00AE1CD5">
        <w:rPr>
          <w:sz w:val="20"/>
          <w:szCs w:val="20"/>
          <w:lang w:val="en-US"/>
        </w:rPr>
        <w:t>centred</w:t>
      </w:r>
      <w:proofErr w:type="spellEnd"/>
      <w:r w:rsidR="00AE1CD5">
        <w:rPr>
          <w:sz w:val="20"/>
          <w:szCs w:val="20"/>
          <w:lang w:val="en-US"/>
        </w:rPr>
        <w:t xml:space="preserve"> public administrative services, </w:t>
      </w:r>
      <w:r w:rsidR="00BA26B8">
        <w:rPr>
          <w:sz w:val="20"/>
          <w:szCs w:val="20"/>
          <w:lang w:val="en-US"/>
        </w:rPr>
        <w:t>in particular in relation to (i</w:t>
      </w:r>
      <w:r w:rsidR="00747C56">
        <w:rPr>
          <w:sz w:val="20"/>
          <w:szCs w:val="20"/>
          <w:lang w:val="en-US"/>
        </w:rPr>
        <w:t xml:space="preserve">) accessing (ii) navigating and (iii) achieving </w:t>
      </w:r>
      <w:r w:rsidR="007B3580">
        <w:rPr>
          <w:sz w:val="20"/>
          <w:szCs w:val="20"/>
          <w:lang w:val="en-US"/>
        </w:rPr>
        <w:t xml:space="preserve">the results they require from public services. </w:t>
      </w:r>
    </w:p>
    <w:p w14:paraId="059DC9BE" w14:textId="6307B399" w:rsidR="00242D83" w:rsidRDefault="00242D83" w:rsidP="00FA4C3C">
      <w:pPr>
        <w:jc w:val="both"/>
        <w:rPr>
          <w:sz w:val="20"/>
          <w:szCs w:val="20"/>
          <w:lang w:val="en-US"/>
        </w:rPr>
      </w:pPr>
      <w:r>
        <w:rPr>
          <w:sz w:val="20"/>
          <w:szCs w:val="20"/>
          <w:lang w:val="en-US"/>
        </w:rPr>
        <w:t xml:space="preserve">Moreover, the Guidance Paper presented tools that may be deployed by countries to </w:t>
      </w:r>
      <w:proofErr w:type="gramStart"/>
      <w:r>
        <w:rPr>
          <w:sz w:val="20"/>
          <w:szCs w:val="20"/>
          <w:lang w:val="en-US"/>
        </w:rPr>
        <w:t xml:space="preserve">support </w:t>
      </w:r>
      <w:r w:rsidR="001F2181">
        <w:rPr>
          <w:sz w:val="20"/>
          <w:szCs w:val="20"/>
          <w:lang w:val="en-US"/>
        </w:rPr>
        <w:t>in</w:t>
      </w:r>
      <w:proofErr w:type="gramEnd"/>
      <w:r w:rsidR="001F2181">
        <w:rPr>
          <w:sz w:val="20"/>
          <w:szCs w:val="20"/>
          <w:lang w:val="en-US"/>
        </w:rPr>
        <w:t xml:space="preserve"> addressing the key drivers of satisfaction, as presented in the figure below. </w:t>
      </w:r>
    </w:p>
    <w:p w14:paraId="454026BE" w14:textId="219D395D" w:rsidR="001F2181" w:rsidRDefault="001F2181" w:rsidP="001F2181">
      <w:pPr>
        <w:pStyle w:val="Caption"/>
      </w:pPr>
      <w:r>
        <w:t xml:space="preserve">Figure </w:t>
      </w:r>
      <w:r>
        <w:fldChar w:fldCharType="begin"/>
      </w:r>
      <w:r>
        <w:instrText xml:space="preserve"> SEQ Figure \* ARABIC </w:instrText>
      </w:r>
      <w:r>
        <w:fldChar w:fldCharType="separate"/>
      </w:r>
      <w:r w:rsidR="00BF6E6E">
        <w:rPr>
          <w:noProof/>
        </w:rPr>
        <w:t>8</w:t>
      </w:r>
      <w:r>
        <w:fldChar w:fldCharType="end"/>
      </w:r>
      <w:r>
        <w:t xml:space="preserve"> </w:t>
      </w:r>
      <w:r w:rsidR="00585606">
        <w:t xml:space="preserve">Tools identified to support Access to Public Services </w:t>
      </w:r>
    </w:p>
    <w:p w14:paraId="063A59FD" w14:textId="01072077" w:rsidR="00585606" w:rsidRDefault="00585606" w:rsidP="00585606">
      <w:pPr>
        <w:rPr>
          <w:lang w:val="en-US"/>
        </w:rPr>
      </w:pPr>
      <w:r w:rsidRPr="00585606">
        <w:drawing>
          <wp:inline distT="0" distB="0" distL="0" distR="0" wp14:anchorId="097516A7" wp14:editId="585C9D18">
            <wp:extent cx="5731510" cy="3506470"/>
            <wp:effectExtent l="0" t="0" r="2540" b="0"/>
            <wp:docPr id="2169000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900007" name=""/>
                    <pic:cNvPicPr/>
                  </pic:nvPicPr>
                  <pic:blipFill>
                    <a:blip r:embed="rId15"/>
                    <a:stretch>
                      <a:fillRect/>
                    </a:stretch>
                  </pic:blipFill>
                  <pic:spPr>
                    <a:xfrm>
                      <a:off x="0" y="0"/>
                      <a:ext cx="5731510" cy="3506470"/>
                    </a:xfrm>
                    <a:prstGeom prst="rect">
                      <a:avLst/>
                    </a:prstGeom>
                  </pic:spPr>
                </pic:pic>
              </a:graphicData>
            </a:graphic>
          </wp:inline>
        </w:drawing>
      </w:r>
    </w:p>
    <w:p w14:paraId="681FA4E0" w14:textId="77777777" w:rsidR="00F1090F" w:rsidRPr="00017945" w:rsidRDefault="00F1090F" w:rsidP="00F1090F">
      <w:pPr>
        <w:pStyle w:val="Sourcenotes"/>
        <w:rPr>
          <w:sz w:val="16"/>
          <w:szCs w:val="20"/>
          <w:lang w:val="en-US"/>
        </w:rPr>
      </w:pPr>
      <w:r w:rsidRPr="00017945">
        <w:rPr>
          <w:sz w:val="16"/>
          <w:szCs w:val="20"/>
          <w:lang w:val="en-US"/>
        </w:rPr>
        <w:t xml:space="preserve">Source: EC-OECD Project on Measuring Citizen’s Satisfaction with key Government Services </w:t>
      </w:r>
    </w:p>
    <w:p w14:paraId="15C9571D" w14:textId="77777777" w:rsidR="00F1090F" w:rsidRDefault="00F1090F" w:rsidP="00585606">
      <w:pPr>
        <w:rPr>
          <w:lang w:val="en-US"/>
        </w:rPr>
      </w:pPr>
    </w:p>
    <w:p w14:paraId="2FF50551" w14:textId="1CE0AAEC" w:rsidR="00585606" w:rsidRDefault="00585606" w:rsidP="00585606">
      <w:pPr>
        <w:pStyle w:val="Caption"/>
      </w:pPr>
      <w:r>
        <w:lastRenderedPageBreak/>
        <w:t xml:space="preserve">Figure </w:t>
      </w:r>
      <w:r>
        <w:fldChar w:fldCharType="begin"/>
      </w:r>
      <w:r>
        <w:instrText xml:space="preserve"> SEQ Figure \* ARABIC </w:instrText>
      </w:r>
      <w:r>
        <w:fldChar w:fldCharType="separate"/>
      </w:r>
      <w:r w:rsidR="00BF6E6E">
        <w:rPr>
          <w:noProof/>
        </w:rPr>
        <w:t>9</w:t>
      </w:r>
      <w:r>
        <w:fldChar w:fldCharType="end"/>
      </w:r>
      <w:r>
        <w:t xml:space="preserve">Tools identified to support </w:t>
      </w:r>
      <w:r w:rsidR="00BF6E6E">
        <w:t xml:space="preserve">navigation of public services by users </w:t>
      </w:r>
    </w:p>
    <w:p w14:paraId="442C4232" w14:textId="2D8BBE41" w:rsidR="00BF6E6E" w:rsidRDefault="00BF6E6E" w:rsidP="00BF6E6E">
      <w:pPr>
        <w:rPr>
          <w:lang w:val="en-US"/>
        </w:rPr>
      </w:pPr>
      <w:r w:rsidRPr="00BF6E6E">
        <w:drawing>
          <wp:inline distT="0" distB="0" distL="0" distR="0" wp14:anchorId="650E9821" wp14:editId="253AC0B5">
            <wp:extent cx="5731510" cy="3355975"/>
            <wp:effectExtent l="0" t="0" r="2540" b="0"/>
            <wp:docPr id="9151405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140508" name=""/>
                    <pic:cNvPicPr/>
                  </pic:nvPicPr>
                  <pic:blipFill>
                    <a:blip r:embed="rId16"/>
                    <a:stretch>
                      <a:fillRect/>
                    </a:stretch>
                  </pic:blipFill>
                  <pic:spPr>
                    <a:xfrm>
                      <a:off x="0" y="0"/>
                      <a:ext cx="5731510" cy="3355975"/>
                    </a:xfrm>
                    <a:prstGeom prst="rect">
                      <a:avLst/>
                    </a:prstGeom>
                  </pic:spPr>
                </pic:pic>
              </a:graphicData>
            </a:graphic>
          </wp:inline>
        </w:drawing>
      </w:r>
    </w:p>
    <w:p w14:paraId="1432AE30" w14:textId="77777777" w:rsidR="00F1090F" w:rsidRPr="00017945" w:rsidRDefault="00F1090F" w:rsidP="00F1090F">
      <w:pPr>
        <w:pStyle w:val="Sourcenotes"/>
        <w:rPr>
          <w:sz w:val="16"/>
          <w:szCs w:val="20"/>
          <w:lang w:val="en-US"/>
        </w:rPr>
      </w:pPr>
      <w:r w:rsidRPr="00017945">
        <w:rPr>
          <w:sz w:val="16"/>
          <w:szCs w:val="20"/>
          <w:lang w:val="en-US"/>
        </w:rPr>
        <w:t xml:space="preserve">Source: EC-OECD Project on Measuring Citizen’s Satisfaction with key Government Services </w:t>
      </w:r>
    </w:p>
    <w:p w14:paraId="46BE78F2" w14:textId="77777777" w:rsidR="00F1090F" w:rsidRDefault="00F1090F" w:rsidP="00BF6E6E">
      <w:pPr>
        <w:rPr>
          <w:lang w:val="en-US"/>
        </w:rPr>
      </w:pPr>
    </w:p>
    <w:p w14:paraId="693012BA" w14:textId="4724AAB7" w:rsidR="00BF6E6E" w:rsidRDefault="00BF6E6E" w:rsidP="00BF6E6E">
      <w:pPr>
        <w:pStyle w:val="Caption"/>
      </w:pPr>
      <w:r>
        <w:lastRenderedPageBreak/>
        <w:t xml:space="preserve">Figure </w:t>
      </w:r>
      <w:r>
        <w:fldChar w:fldCharType="begin"/>
      </w:r>
      <w:r>
        <w:instrText xml:space="preserve"> SEQ Figure \* ARABIC </w:instrText>
      </w:r>
      <w:r>
        <w:fldChar w:fldCharType="separate"/>
      </w:r>
      <w:r>
        <w:rPr>
          <w:noProof/>
        </w:rPr>
        <w:t>10</w:t>
      </w:r>
      <w:r>
        <w:fldChar w:fldCharType="end"/>
      </w:r>
      <w:r>
        <w:t xml:space="preserve"> Tools identified </w:t>
      </w:r>
      <w:r w:rsidR="00170084">
        <w:t>for achieving simple, fast and fair public services for users</w:t>
      </w:r>
    </w:p>
    <w:p w14:paraId="37641836" w14:textId="0FF0D06A" w:rsidR="00170084" w:rsidRDefault="00170084" w:rsidP="00170084">
      <w:pPr>
        <w:rPr>
          <w:lang w:val="en-US"/>
        </w:rPr>
      </w:pPr>
      <w:r w:rsidRPr="00170084">
        <w:drawing>
          <wp:inline distT="0" distB="0" distL="0" distR="0" wp14:anchorId="24781DBE" wp14:editId="2CE31A4A">
            <wp:extent cx="5731510" cy="4434840"/>
            <wp:effectExtent l="0" t="0" r="2540" b="3810"/>
            <wp:docPr id="1662658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65849" name=""/>
                    <pic:cNvPicPr/>
                  </pic:nvPicPr>
                  <pic:blipFill>
                    <a:blip r:embed="rId17"/>
                    <a:stretch>
                      <a:fillRect/>
                    </a:stretch>
                  </pic:blipFill>
                  <pic:spPr>
                    <a:xfrm>
                      <a:off x="0" y="0"/>
                      <a:ext cx="5731510" cy="4434840"/>
                    </a:xfrm>
                    <a:prstGeom prst="rect">
                      <a:avLst/>
                    </a:prstGeom>
                  </pic:spPr>
                </pic:pic>
              </a:graphicData>
            </a:graphic>
          </wp:inline>
        </w:drawing>
      </w:r>
    </w:p>
    <w:p w14:paraId="18066000" w14:textId="77777777" w:rsidR="00F1090F" w:rsidRPr="00017945" w:rsidRDefault="00F1090F" w:rsidP="00F1090F">
      <w:pPr>
        <w:pStyle w:val="Sourcenotes"/>
        <w:rPr>
          <w:sz w:val="16"/>
          <w:szCs w:val="20"/>
          <w:lang w:val="en-US"/>
        </w:rPr>
      </w:pPr>
      <w:r w:rsidRPr="00017945">
        <w:rPr>
          <w:sz w:val="16"/>
          <w:szCs w:val="20"/>
          <w:lang w:val="en-US"/>
        </w:rPr>
        <w:t xml:space="preserve">Source: EC-OECD Project on Measuring Citizen’s Satisfaction with key Government Services </w:t>
      </w:r>
    </w:p>
    <w:p w14:paraId="17A9E2E2" w14:textId="312A2061" w:rsidR="00D942F1" w:rsidRPr="00017945" w:rsidRDefault="00D942F1" w:rsidP="009A71FD">
      <w:pPr>
        <w:pStyle w:val="ParaOpener"/>
        <w:rPr>
          <w:lang w:val="en-US"/>
        </w:rPr>
      </w:pPr>
      <w:r w:rsidRPr="00017945">
        <w:rPr>
          <w:lang w:val="en-US"/>
        </w:rPr>
        <w:t xml:space="preserve">Output 2.2: Cross-learning workshop on best practices in measuring user satisfaction and improving delivery of public services </w:t>
      </w:r>
    </w:p>
    <w:p w14:paraId="50E98873" w14:textId="76A017C9" w:rsidR="001421C3" w:rsidRDefault="001421C3" w:rsidP="00CE1784">
      <w:pPr>
        <w:rPr>
          <w:b/>
          <w:bCs/>
          <w:i/>
          <w:iCs/>
          <w:sz w:val="20"/>
          <w:szCs w:val="20"/>
          <w:lang w:val="en-US"/>
        </w:rPr>
      </w:pPr>
      <w:r w:rsidRPr="00017945">
        <w:rPr>
          <w:b/>
          <w:bCs/>
          <w:i/>
          <w:iCs/>
          <w:sz w:val="20"/>
          <w:szCs w:val="20"/>
          <w:lang w:val="en-US"/>
        </w:rPr>
        <w:t xml:space="preserve">Activity 2.2.1: </w:t>
      </w:r>
      <w:proofErr w:type="spellStart"/>
      <w:r w:rsidRPr="00017945">
        <w:rPr>
          <w:b/>
          <w:bCs/>
          <w:i/>
          <w:iCs/>
          <w:sz w:val="20"/>
          <w:szCs w:val="20"/>
          <w:lang w:val="en-US"/>
        </w:rPr>
        <w:t>Organise</w:t>
      </w:r>
      <w:proofErr w:type="spellEnd"/>
      <w:r w:rsidRPr="00017945">
        <w:rPr>
          <w:b/>
          <w:bCs/>
          <w:i/>
          <w:iCs/>
          <w:sz w:val="20"/>
          <w:szCs w:val="20"/>
          <w:lang w:val="en-US"/>
        </w:rPr>
        <w:t xml:space="preserve"> a Workshop on user-centric services and project completion </w:t>
      </w:r>
    </w:p>
    <w:p w14:paraId="71A82A5B" w14:textId="7E58B8F5" w:rsidR="00410160" w:rsidRPr="00F12A40" w:rsidRDefault="00F12A40" w:rsidP="00170084">
      <w:pPr>
        <w:jc w:val="both"/>
        <w:rPr>
          <w:sz w:val="20"/>
          <w:szCs w:val="20"/>
          <w:lang w:val="en-US"/>
        </w:rPr>
      </w:pPr>
      <w:r>
        <w:rPr>
          <w:sz w:val="20"/>
          <w:szCs w:val="20"/>
          <w:lang w:val="en-US"/>
        </w:rPr>
        <w:t xml:space="preserve">A Final Workshop on user-centric services and project completion was organized on </w:t>
      </w:r>
      <w:r w:rsidR="003C151F">
        <w:rPr>
          <w:sz w:val="20"/>
          <w:szCs w:val="20"/>
          <w:lang w:val="en-US"/>
        </w:rPr>
        <w:t xml:space="preserve">4 December 2025 at OECD Headquarters in Paris. </w:t>
      </w:r>
      <w:r w:rsidR="000B5E97">
        <w:rPr>
          <w:sz w:val="20"/>
          <w:szCs w:val="20"/>
          <w:lang w:val="en-US"/>
        </w:rPr>
        <w:t xml:space="preserve">The Workshop gathered National Contact Points from all beneficiary EU Member States as well as additional countries to discuss the </w:t>
      </w:r>
      <w:r w:rsidR="00B26108">
        <w:rPr>
          <w:sz w:val="20"/>
          <w:szCs w:val="20"/>
          <w:lang w:val="en-US"/>
        </w:rPr>
        <w:t>use of the project results</w:t>
      </w:r>
      <w:r w:rsidR="00170084">
        <w:rPr>
          <w:sz w:val="20"/>
          <w:szCs w:val="20"/>
          <w:lang w:val="en-US"/>
        </w:rPr>
        <w:t xml:space="preserve">. Moreover, the Workshop enabled a co-design activity to be undertaken to develop the basis for a Life Event </w:t>
      </w:r>
      <w:r w:rsidR="00B26108">
        <w:rPr>
          <w:sz w:val="20"/>
          <w:szCs w:val="20"/>
          <w:lang w:val="en-US"/>
        </w:rPr>
        <w:t xml:space="preserve">Blueprint aimed at equipping the participating countries in identifying the key phases, steps, tools and actors required to deploy Life Event approaches in their countries. </w:t>
      </w:r>
    </w:p>
    <w:p w14:paraId="07DD85AA" w14:textId="3D27F786" w:rsidR="00CE1784" w:rsidRPr="00B26108" w:rsidRDefault="00CE1784" w:rsidP="00B26108">
      <w:pPr>
        <w:pStyle w:val="Heading2"/>
        <w:rPr>
          <w:lang w:val="en-US"/>
        </w:rPr>
      </w:pPr>
      <w:r w:rsidRPr="00B26108">
        <w:rPr>
          <w:lang w:val="en-US"/>
        </w:rPr>
        <w:t xml:space="preserve">Consultation with stakeholders </w:t>
      </w:r>
    </w:p>
    <w:p w14:paraId="263B9B1B" w14:textId="39DEA753" w:rsidR="00CE1784" w:rsidRPr="00017945" w:rsidRDefault="00CE1784" w:rsidP="00CE1784">
      <w:pPr>
        <w:rPr>
          <w:sz w:val="20"/>
          <w:szCs w:val="20"/>
          <w:lang w:val="en-US"/>
        </w:rPr>
      </w:pPr>
      <w:r w:rsidRPr="00017945">
        <w:rPr>
          <w:sz w:val="20"/>
          <w:szCs w:val="20"/>
          <w:lang w:val="en-US"/>
        </w:rPr>
        <w:t xml:space="preserve">Stakeholders from public administrations within the beneficiary EU Member States were consulted throughout the Project. </w:t>
      </w:r>
    </w:p>
    <w:p w14:paraId="1E8E035C" w14:textId="4294078B" w:rsidR="00CE1784" w:rsidRPr="00017945" w:rsidRDefault="00CE1784" w:rsidP="00CE1784">
      <w:pPr>
        <w:rPr>
          <w:b/>
          <w:bCs/>
          <w:i/>
          <w:iCs/>
          <w:sz w:val="20"/>
          <w:szCs w:val="20"/>
          <w:lang w:val="en-US"/>
        </w:rPr>
      </w:pPr>
      <w:r w:rsidRPr="00017945">
        <w:rPr>
          <w:i/>
          <w:iCs/>
          <w:sz w:val="20"/>
          <w:szCs w:val="20"/>
          <w:lang w:val="en-US"/>
        </w:rPr>
        <w:t>Consultation with Advisory Group</w:t>
      </w:r>
      <w:r w:rsidRPr="00017945">
        <w:rPr>
          <w:b/>
          <w:bCs/>
          <w:i/>
          <w:iCs/>
          <w:sz w:val="20"/>
          <w:szCs w:val="20"/>
          <w:lang w:val="en-US"/>
        </w:rPr>
        <w:t xml:space="preserve"> </w:t>
      </w:r>
    </w:p>
    <w:p w14:paraId="2C83348B" w14:textId="7CD7B646" w:rsidR="00B26108" w:rsidRDefault="00BE3C84" w:rsidP="00C516C8">
      <w:pPr>
        <w:jc w:val="both"/>
        <w:rPr>
          <w:sz w:val="20"/>
          <w:szCs w:val="20"/>
          <w:lang w:val="en-US"/>
        </w:rPr>
      </w:pPr>
      <w:r>
        <w:rPr>
          <w:sz w:val="20"/>
          <w:szCs w:val="20"/>
          <w:lang w:val="en-US"/>
        </w:rPr>
        <w:lastRenderedPageBreak/>
        <w:t xml:space="preserve">An Advisory Group was established for the Project </w:t>
      </w:r>
      <w:r w:rsidR="006751BD">
        <w:rPr>
          <w:sz w:val="20"/>
          <w:szCs w:val="20"/>
          <w:lang w:val="en-US"/>
        </w:rPr>
        <w:t>composed</w:t>
      </w:r>
      <w:r>
        <w:rPr>
          <w:sz w:val="20"/>
          <w:szCs w:val="20"/>
          <w:lang w:val="en-US"/>
        </w:rPr>
        <w:t xml:space="preserve"> of representatives from the beneficiary EU Member States, SG REFORM and the OECD Project Team. Regular meetings were held with the Project Advisory Group with a view to ensuring the strategic guidance for the Project as well as receiving feedback and comments </w:t>
      </w:r>
      <w:proofErr w:type="gramStart"/>
      <w:r>
        <w:rPr>
          <w:sz w:val="20"/>
          <w:szCs w:val="20"/>
          <w:lang w:val="en-US"/>
        </w:rPr>
        <w:t>to</w:t>
      </w:r>
      <w:proofErr w:type="gramEnd"/>
      <w:r>
        <w:rPr>
          <w:sz w:val="20"/>
          <w:szCs w:val="20"/>
          <w:lang w:val="en-US"/>
        </w:rPr>
        <w:t xml:space="preserve"> key deliverables. </w:t>
      </w:r>
    </w:p>
    <w:p w14:paraId="387C3CE7" w14:textId="7FAB16DD" w:rsidR="00CE1784" w:rsidRDefault="00CE1784" w:rsidP="00CE1784">
      <w:pPr>
        <w:rPr>
          <w:i/>
          <w:iCs/>
          <w:sz w:val="20"/>
          <w:szCs w:val="20"/>
          <w:lang w:val="en-US"/>
        </w:rPr>
      </w:pPr>
      <w:r w:rsidRPr="00017945">
        <w:rPr>
          <w:i/>
          <w:iCs/>
          <w:sz w:val="20"/>
          <w:szCs w:val="20"/>
          <w:lang w:val="en-US"/>
        </w:rPr>
        <w:t xml:space="preserve">Consultation with </w:t>
      </w:r>
      <w:r w:rsidR="00BE3C84">
        <w:rPr>
          <w:i/>
          <w:iCs/>
          <w:sz w:val="20"/>
          <w:szCs w:val="20"/>
          <w:lang w:val="en-US"/>
        </w:rPr>
        <w:t xml:space="preserve">Public Administrations </w:t>
      </w:r>
    </w:p>
    <w:p w14:paraId="4A3CF547" w14:textId="43FDFC91" w:rsidR="00BE3C84" w:rsidRPr="00BE3C84" w:rsidRDefault="00BE3C84" w:rsidP="00C516C8">
      <w:pPr>
        <w:jc w:val="both"/>
        <w:rPr>
          <w:sz w:val="20"/>
          <w:szCs w:val="20"/>
          <w:lang w:val="en-US"/>
        </w:rPr>
      </w:pPr>
      <w:r>
        <w:rPr>
          <w:sz w:val="20"/>
          <w:szCs w:val="20"/>
          <w:lang w:val="en-US"/>
        </w:rPr>
        <w:t xml:space="preserve">The Country Missions enabled consultation with a wide range of stakeholders from public administrations in each of the beneficiary Member States. In addition to consultations with officials within the </w:t>
      </w:r>
      <w:proofErr w:type="gramStart"/>
      <w:r>
        <w:rPr>
          <w:sz w:val="20"/>
          <w:szCs w:val="20"/>
          <w:lang w:val="en-US"/>
        </w:rPr>
        <w:t xml:space="preserve">responsible </w:t>
      </w:r>
      <w:r w:rsidR="00662173">
        <w:rPr>
          <w:sz w:val="20"/>
          <w:szCs w:val="20"/>
          <w:lang w:val="en-US"/>
        </w:rPr>
        <w:t>M</w:t>
      </w:r>
      <w:r>
        <w:rPr>
          <w:sz w:val="20"/>
          <w:szCs w:val="20"/>
          <w:lang w:val="en-US"/>
        </w:rPr>
        <w:t>inistries</w:t>
      </w:r>
      <w:proofErr w:type="gramEnd"/>
      <w:r>
        <w:rPr>
          <w:sz w:val="20"/>
          <w:szCs w:val="20"/>
          <w:lang w:val="en-US"/>
        </w:rPr>
        <w:t xml:space="preserve"> for the Project, the Country Missions also enabled consultation with stakeholders from Ministries, Agencies and other service providers responsible for the design and delivery of public services. Specific focus was place</w:t>
      </w:r>
      <w:r w:rsidR="00662173">
        <w:rPr>
          <w:sz w:val="20"/>
          <w:szCs w:val="20"/>
          <w:lang w:val="en-US"/>
        </w:rPr>
        <w:t>d</w:t>
      </w:r>
      <w:r>
        <w:rPr>
          <w:sz w:val="20"/>
          <w:szCs w:val="20"/>
          <w:lang w:val="en-US"/>
        </w:rPr>
        <w:t xml:space="preserve"> on stakeholder consultation with </w:t>
      </w:r>
      <w:r w:rsidR="00C516C8">
        <w:rPr>
          <w:sz w:val="20"/>
          <w:szCs w:val="20"/>
          <w:lang w:val="en-US"/>
        </w:rPr>
        <w:t xml:space="preserve">responsible service providers related to the Life Events of focus in each of the EU Member States. </w:t>
      </w:r>
    </w:p>
    <w:p w14:paraId="38D3C09A" w14:textId="0AB0F2FE" w:rsidR="00CE1784" w:rsidRPr="00017945" w:rsidRDefault="00CE1784" w:rsidP="00CE1784">
      <w:pPr>
        <w:rPr>
          <w:sz w:val="20"/>
          <w:szCs w:val="20"/>
        </w:rPr>
      </w:pPr>
      <w:r w:rsidRPr="00017945">
        <w:rPr>
          <w:i/>
          <w:iCs/>
          <w:sz w:val="20"/>
          <w:szCs w:val="20"/>
          <w:lang w:val="en-US"/>
        </w:rPr>
        <w:t>Consultation with External Experts</w:t>
      </w:r>
    </w:p>
    <w:p w14:paraId="1C4F62F9" w14:textId="70193465" w:rsidR="00CE1784" w:rsidRPr="00017945" w:rsidRDefault="00CE1784" w:rsidP="00CE1784">
      <w:pPr>
        <w:rPr>
          <w:sz w:val="20"/>
          <w:szCs w:val="20"/>
        </w:rPr>
      </w:pPr>
      <w:r w:rsidRPr="00017945">
        <w:rPr>
          <w:sz w:val="20"/>
          <w:szCs w:val="20"/>
        </w:rPr>
        <w:t xml:space="preserve">External experts were consulted during the development of the Measurement Framework with a view to receiving their expert input on the rationale for the framework’s construction as well as </w:t>
      </w:r>
      <w:proofErr w:type="gramStart"/>
      <w:r w:rsidRPr="00017945">
        <w:rPr>
          <w:sz w:val="20"/>
          <w:szCs w:val="20"/>
        </w:rPr>
        <w:t>in regard to</w:t>
      </w:r>
      <w:proofErr w:type="gramEnd"/>
      <w:r w:rsidRPr="00017945">
        <w:rPr>
          <w:sz w:val="20"/>
          <w:szCs w:val="20"/>
        </w:rPr>
        <w:t xml:space="preserve"> the key components of the Framework. In addition, external expertise was used in the analysis of the results of the Population Survey. </w:t>
      </w:r>
    </w:p>
    <w:p w14:paraId="19D0E087" w14:textId="3FE7AEF1" w:rsidR="00CE1784" w:rsidRDefault="00CE1784" w:rsidP="00CE1784">
      <w:pPr>
        <w:rPr>
          <w:b/>
          <w:bCs/>
          <w:lang w:val="en-US"/>
        </w:rPr>
      </w:pPr>
      <w:r>
        <w:rPr>
          <w:b/>
          <w:bCs/>
          <w:lang w:val="en-US"/>
        </w:rPr>
        <w:t xml:space="preserve">Key findings and lessons learnt </w:t>
      </w:r>
    </w:p>
    <w:p w14:paraId="0E186C35" w14:textId="3D7426C0" w:rsidR="00E83E73" w:rsidRDefault="00E83E73" w:rsidP="00E83E73">
      <w:pPr>
        <w:pStyle w:val="Para0"/>
        <w:rPr>
          <w:lang w:val="en-US"/>
        </w:rPr>
      </w:pPr>
      <w:r>
        <w:rPr>
          <w:lang w:val="en-US"/>
        </w:rPr>
        <w:t>By understanding what drives satisfaction with public services delivered through Life Events, public administrations can enhance citizen satisfaction and ultimately public trust</w:t>
      </w:r>
      <w:sdt>
        <w:sdtPr>
          <w:rPr>
            <w:lang w:val="en-US"/>
          </w:rPr>
          <w:id w:val="-1843380912"/>
          <w:citation/>
        </w:sdtPr>
        <w:sdtContent>
          <w:r>
            <w:rPr>
              <w:lang w:val="en-US"/>
            </w:rPr>
            <w:fldChar w:fldCharType="begin"/>
          </w:r>
          <w:r w:rsidRPr="00832509">
            <w:instrText xml:space="preserve"> CITATION Kapp_9a20554b \l 1036 </w:instrText>
          </w:r>
          <w:r>
            <w:rPr>
              <w:lang w:val="en-US"/>
            </w:rPr>
            <w:fldChar w:fldCharType="separate"/>
          </w:r>
          <w:r>
            <w:rPr>
              <w:noProof/>
            </w:rPr>
            <w:t xml:space="preserve"> </w:t>
          </w:r>
          <w:r w:rsidRPr="00F86F21">
            <w:rPr>
              <w:noProof/>
            </w:rPr>
            <w:t>(OECD, 2024</w:t>
          </w:r>
          <w:r w:rsidRPr="00F86F21">
            <w:rPr>
              <w:noProof/>
              <w:vertAlign w:val="subscript"/>
            </w:rPr>
            <w:t>[2]</w:t>
          </w:r>
          <w:r w:rsidRPr="00F86F21">
            <w:rPr>
              <w:noProof/>
            </w:rPr>
            <w:t>)</w:t>
          </w:r>
          <w:r>
            <w:rPr>
              <w:lang w:val="en-US"/>
            </w:rPr>
            <w:fldChar w:fldCharType="end"/>
          </w:r>
        </w:sdtContent>
      </w:sdt>
      <w:r>
        <w:rPr>
          <w:lang w:val="en-US"/>
        </w:rPr>
        <w:t xml:space="preserve">. Moreover, this can support public administrations in improving the overall effectiveness and efficiency of public administrative services around </w:t>
      </w:r>
      <w:r w:rsidR="00662173">
        <w:rPr>
          <w:lang w:val="en-US"/>
        </w:rPr>
        <w:t>L</w:t>
      </w:r>
      <w:r>
        <w:rPr>
          <w:lang w:val="en-US"/>
        </w:rPr>
        <w:t xml:space="preserve">ife </w:t>
      </w:r>
      <w:r w:rsidR="00662173">
        <w:rPr>
          <w:lang w:val="en-US"/>
        </w:rPr>
        <w:t>E</w:t>
      </w:r>
      <w:r>
        <w:rPr>
          <w:lang w:val="en-US"/>
        </w:rPr>
        <w:t xml:space="preserve">vents. </w:t>
      </w:r>
      <w:r w:rsidR="00662173">
        <w:rPr>
          <w:lang w:val="en-US"/>
        </w:rPr>
        <w:t xml:space="preserve">Beneficiary Member States </w:t>
      </w:r>
      <w:r>
        <w:rPr>
          <w:lang w:val="en-US"/>
        </w:rPr>
        <w:t xml:space="preserve">have engaged into rethinking, simplifying, streamlining and digitalizing steps and procedures across </w:t>
      </w:r>
      <w:r w:rsidR="00737816">
        <w:rPr>
          <w:lang w:val="en-US"/>
        </w:rPr>
        <w:t>Life Events</w:t>
      </w:r>
      <w:r>
        <w:rPr>
          <w:lang w:val="en-US"/>
        </w:rPr>
        <w:t xml:space="preserve"> identified, including through in-country workshops held with the OECD support. </w:t>
      </w:r>
    </w:p>
    <w:p w14:paraId="49D9336A" w14:textId="052F1D35" w:rsidR="00CE1784" w:rsidRDefault="00737816" w:rsidP="00E83E73">
      <w:pPr>
        <w:pStyle w:val="Para0"/>
        <w:rPr>
          <w:lang w:val="en-US"/>
        </w:rPr>
      </w:pPr>
      <w:r>
        <w:rPr>
          <w:lang w:val="en-US"/>
        </w:rPr>
        <w:t xml:space="preserve">The Project’s identification of the key drivers of satisfaction with public services </w:t>
      </w:r>
      <w:r w:rsidR="00E83E73">
        <w:rPr>
          <w:lang w:val="en-US"/>
        </w:rPr>
        <w:t>can be used as a compass for public administrations when working on public service reform.</w:t>
      </w:r>
      <w:r w:rsidR="00DF1CFD">
        <w:rPr>
          <w:lang w:val="en-US"/>
        </w:rPr>
        <w:t xml:space="preserve"> The</w:t>
      </w:r>
      <w:r w:rsidR="00BD08AF">
        <w:rPr>
          <w:lang w:val="en-US"/>
        </w:rPr>
        <w:t xml:space="preserve"> data gathered through the project provided the beneficiary EU Member States with robust data to answer key questions. </w:t>
      </w:r>
    </w:p>
    <w:p w14:paraId="70165114" w14:textId="1ED1BE2D" w:rsidR="00BD08AF" w:rsidRDefault="00BD08AF" w:rsidP="00BD08AF">
      <w:pPr>
        <w:pStyle w:val="Caption"/>
      </w:pPr>
      <w:r>
        <w:t xml:space="preserve">Figure </w:t>
      </w:r>
      <w:r>
        <w:fldChar w:fldCharType="begin"/>
      </w:r>
      <w:r>
        <w:instrText xml:space="preserve"> SEQ Figure \* ARABIC </w:instrText>
      </w:r>
      <w:r>
        <w:fldChar w:fldCharType="separate"/>
      </w:r>
      <w:r w:rsidR="00BF6E6E">
        <w:rPr>
          <w:noProof/>
        </w:rPr>
        <w:t>11</w:t>
      </w:r>
      <w:r>
        <w:fldChar w:fldCharType="end"/>
      </w:r>
      <w:r>
        <w:t xml:space="preserve"> Key questions addressed through TSI Citizen Satisfaction Survey </w:t>
      </w:r>
    </w:p>
    <w:p w14:paraId="28332FB1" w14:textId="7745E50D" w:rsidR="00F727A9" w:rsidRPr="00CE1784" w:rsidRDefault="00410F3A" w:rsidP="00F1090F">
      <w:pPr>
        <w:pStyle w:val="Para0"/>
        <w:jc w:val="center"/>
        <w:rPr>
          <w:b/>
          <w:bCs/>
          <w:lang w:val="en-US"/>
        </w:rPr>
      </w:pPr>
      <w:r w:rsidRPr="00410F3A">
        <w:drawing>
          <wp:inline distT="0" distB="0" distL="0" distR="0" wp14:anchorId="43166D5E" wp14:editId="1D165404">
            <wp:extent cx="4479403" cy="2508188"/>
            <wp:effectExtent l="0" t="0" r="0" b="6985"/>
            <wp:docPr id="1276107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107253" name=""/>
                    <pic:cNvPicPr/>
                  </pic:nvPicPr>
                  <pic:blipFill>
                    <a:blip r:embed="rId18"/>
                    <a:stretch>
                      <a:fillRect/>
                    </a:stretch>
                  </pic:blipFill>
                  <pic:spPr>
                    <a:xfrm>
                      <a:off x="0" y="0"/>
                      <a:ext cx="4489673" cy="2513938"/>
                    </a:xfrm>
                    <a:prstGeom prst="rect">
                      <a:avLst/>
                    </a:prstGeom>
                  </pic:spPr>
                </pic:pic>
              </a:graphicData>
            </a:graphic>
          </wp:inline>
        </w:drawing>
      </w:r>
    </w:p>
    <w:sectPr w:rsidR="00F727A9" w:rsidRPr="00CE1784" w:rsidSect="0005662A">
      <w:headerReference w:type="default" r:id="rId19"/>
      <w:footerReference w:type="even" r:id="rId20"/>
      <w:footerReference w:type="default" r:id="rId21"/>
      <w:footerReference w:type="first" r:id="rId22"/>
      <w:pgSz w:w="11906" w:h="16838"/>
      <w:pgMar w:top="2055"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95185" w14:textId="77777777" w:rsidR="002B5837" w:rsidRDefault="002B5837" w:rsidP="00494D84">
      <w:pPr>
        <w:spacing w:after="0" w:line="240" w:lineRule="auto"/>
      </w:pPr>
      <w:r>
        <w:separator/>
      </w:r>
    </w:p>
  </w:endnote>
  <w:endnote w:type="continuationSeparator" w:id="0">
    <w:p w14:paraId="72097D07" w14:textId="77777777" w:rsidR="002B5837" w:rsidRDefault="002B5837" w:rsidP="00494D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Narrow">
    <w:altName w:val="Arial"/>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7B2F8" w14:textId="3A5D60FF" w:rsidR="00494D84" w:rsidRDefault="00F1090F">
    <w:pPr>
      <w:pStyle w:val="Footer"/>
    </w:pPr>
    <w:r>
      <w:rPr>
        <w:noProof/>
      </w:rPr>
      <mc:AlternateContent>
        <mc:Choice Requires="wps">
          <w:drawing>
            <wp:anchor distT="0" distB="0" distL="0" distR="0" simplePos="0" relativeHeight="251659264" behindDoc="0" locked="0" layoutInCell="1" allowOverlap="1" wp14:anchorId="2B5ED906" wp14:editId="05A9725A">
              <wp:simplePos x="635" y="635"/>
              <wp:positionH relativeFrom="page">
                <wp:align>center</wp:align>
              </wp:positionH>
              <wp:positionV relativeFrom="page">
                <wp:align>bottom</wp:align>
              </wp:positionV>
              <wp:extent cx="1244600" cy="358140"/>
              <wp:effectExtent l="0" t="0" r="12700" b="0"/>
              <wp:wrapNone/>
              <wp:docPr id="1888746119" name="Text Box 6" descr="Unclassified - Non classifi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44600" cy="358140"/>
                      </a:xfrm>
                      <a:prstGeom prst="rect">
                        <a:avLst/>
                      </a:prstGeom>
                      <a:noFill/>
                      <a:ln>
                        <a:noFill/>
                      </a:ln>
                    </wps:spPr>
                    <wps:txbx>
                      <w:txbxContent>
                        <w:p w14:paraId="73D7F6E2" w14:textId="3F272E84" w:rsidR="00F1090F" w:rsidRPr="00F1090F" w:rsidRDefault="00F1090F" w:rsidP="00F1090F">
                          <w:pPr>
                            <w:spacing w:after="0"/>
                            <w:rPr>
                              <w:rFonts w:ascii="Arial Narrow" w:eastAsia="Arial Narrow" w:hAnsi="Arial Narrow" w:cs="Arial Narrow"/>
                              <w:noProof/>
                              <w:color w:val="0000FF"/>
                              <w:sz w:val="20"/>
                              <w:szCs w:val="20"/>
                            </w:rPr>
                          </w:pPr>
                          <w:r w:rsidRPr="00F1090F">
                            <w:rPr>
                              <w:rFonts w:ascii="Arial Narrow" w:eastAsia="Arial Narrow" w:hAnsi="Arial Narrow" w:cs="Arial Narrow"/>
                              <w:noProof/>
                              <w:color w:val="0000FF"/>
                              <w:sz w:val="20"/>
                              <w:szCs w:val="20"/>
                            </w:rPr>
                            <w:t>Unclassified - Non classifié</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5ED906" id="_x0000_t202" coordsize="21600,21600" o:spt="202" path="m,l,21600r21600,l21600,xe">
              <v:stroke joinstyle="miter"/>
              <v:path gradientshapeok="t" o:connecttype="rect"/>
            </v:shapetype>
            <v:shape id="Text Box 6" o:spid="_x0000_s1026" type="#_x0000_t202" alt="Unclassified - Non classifié" style="position:absolute;margin-left:0;margin-top:0;width:98pt;height:28.2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" filled="f" stroked="f">
              <v:fill o:detectmouseclick="t"/>
              <v:textbox style="mso-fit-shape-to-text:t" inset="0,0,0,15pt">
                <w:txbxContent>
                  <w:p w14:paraId="73D7F6E2" w14:textId="3F272E84" w:rsidR="00F1090F" w:rsidRPr="00F1090F" w:rsidRDefault="00F1090F" w:rsidP="00F1090F">
                    <w:pPr>
                      <w:spacing w:after="0"/>
                      <w:rPr>
                        <w:rFonts w:ascii="Arial Narrow" w:eastAsia="Arial Narrow" w:hAnsi="Arial Narrow" w:cs="Arial Narrow"/>
                        <w:noProof/>
                        <w:color w:val="0000FF"/>
                        <w:sz w:val="20"/>
                        <w:szCs w:val="20"/>
                      </w:rPr>
                    </w:pPr>
                    <w:r w:rsidRPr="00F1090F">
                      <w:rPr>
                        <w:rFonts w:ascii="Arial Narrow" w:eastAsia="Arial Narrow" w:hAnsi="Arial Narrow" w:cs="Arial Narrow"/>
                        <w:noProof/>
                        <w:color w:val="0000FF"/>
                        <w:sz w:val="20"/>
                        <w:szCs w:val="20"/>
                      </w:rPr>
                      <w:t>Unclassified - Non classifié</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ABB97" w14:textId="7207C357" w:rsidR="00494D84" w:rsidRDefault="00F1090F">
    <w:pPr>
      <w:pStyle w:val="Footer"/>
    </w:pPr>
    <w:r>
      <w:rPr>
        <w:noProof/>
      </w:rPr>
      <mc:AlternateContent>
        <mc:Choice Requires="wps">
          <w:drawing>
            <wp:anchor distT="0" distB="0" distL="0" distR="0" simplePos="0" relativeHeight="251660288" behindDoc="0" locked="0" layoutInCell="1" allowOverlap="1" wp14:anchorId="2EDDD8DE" wp14:editId="686F3D27">
              <wp:simplePos x="914400" y="10069975"/>
              <wp:positionH relativeFrom="page">
                <wp:align>center</wp:align>
              </wp:positionH>
              <wp:positionV relativeFrom="page">
                <wp:align>bottom</wp:align>
              </wp:positionV>
              <wp:extent cx="1244600" cy="358140"/>
              <wp:effectExtent l="0" t="0" r="12700" b="0"/>
              <wp:wrapNone/>
              <wp:docPr id="1468528204" name="Text Box 7" descr="Unclassified - Non classifi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44600" cy="358140"/>
                      </a:xfrm>
                      <a:prstGeom prst="rect">
                        <a:avLst/>
                      </a:prstGeom>
                      <a:noFill/>
                      <a:ln>
                        <a:noFill/>
                      </a:ln>
                    </wps:spPr>
                    <wps:txbx>
                      <w:txbxContent>
                        <w:p w14:paraId="0D4EE9DD" w14:textId="276E8C0B" w:rsidR="00F1090F" w:rsidRPr="00F1090F" w:rsidRDefault="00F1090F" w:rsidP="00F1090F">
                          <w:pPr>
                            <w:spacing w:after="0"/>
                            <w:rPr>
                              <w:rFonts w:ascii="Arial Narrow" w:eastAsia="Arial Narrow" w:hAnsi="Arial Narrow" w:cs="Arial Narrow"/>
                              <w:noProof/>
                              <w:color w:val="0000FF"/>
                              <w:sz w:val="20"/>
                              <w:szCs w:val="20"/>
                            </w:rPr>
                          </w:pPr>
                          <w:r w:rsidRPr="00F1090F">
                            <w:rPr>
                              <w:rFonts w:ascii="Arial Narrow" w:eastAsia="Arial Narrow" w:hAnsi="Arial Narrow" w:cs="Arial Narrow"/>
                              <w:noProof/>
                              <w:color w:val="0000FF"/>
                              <w:sz w:val="20"/>
                              <w:szCs w:val="20"/>
                            </w:rPr>
                            <w:t>Unclassified - Non classifié</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EDDD8DE" id="_x0000_t202" coordsize="21600,21600" o:spt="202" path="m,l,21600r21600,l21600,xe">
              <v:stroke joinstyle="miter"/>
              <v:path gradientshapeok="t" o:connecttype="rect"/>
            </v:shapetype>
            <v:shape id="Text Box 7" o:spid="_x0000_s1027" type="#_x0000_t202" alt="Unclassified - Non classifié" style="position:absolute;margin-left:0;margin-top:0;width:98pt;height:28.2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" filled="f" stroked="f">
              <v:fill o:detectmouseclick="t"/>
              <v:textbox style="mso-fit-shape-to-text:t" inset="0,0,0,15pt">
                <w:txbxContent>
                  <w:p w14:paraId="0D4EE9DD" w14:textId="276E8C0B" w:rsidR="00F1090F" w:rsidRPr="00F1090F" w:rsidRDefault="00F1090F" w:rsidP="00F1090F">
                    <w:pPr>
                      <w:spacing w:after="0"/>
                      <w:rPr>
                        <w:rFonts w:ascii="Arial Narrow" w:eastAsia="Arial Narrow" w:hAnsi="Arial Narrow" w:cs="Arial Narrow"/>
                        <w:noProof/>
                        <w:color w:val="0000FF"/>
                        <w:sz w:val="20"/>
                        <w:szCs w:val="20"/>
                      </w:rPr>
                    </w:pPr>
                    <w:r w:rsidRPr="00F1090F">
                      <w:rPr>
                        <w:rFonts w:ascii="Arial Narrow" w:eastAsia="Arial Narrow" w:hAnsi="Arial Narrow" w:cs="Arial Narrow"/>
                        <w:noProof/>
                        <w:color w:val="0000FF"/>
                        <w:sz w:val="20"/>
                        <w:szCs w:val="20"/>
                      </w:rPr>
                      <w:t>Unclassified - Non classifié</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235C5" w14:textId="6DE28A20" w:rsidR="00494D84" w:rsidRDefault="00F1090F">
    <w:pPr>
      <w:pStyle w:val="Footer"/>
    </w:pPr>
    <w:r>
      <w:rPr>
        <w:noProof/>
      </w:rPr>
      <mc:AlternateContent>
        <mc:Choice Requires="wps">
          <w:drawing>
            <wp:anchor distT="0" distB="0" distL="0" distR="0" simplePos="0" relativeHeight="251658240" behindDoc="0" locked="0" layoutInCell="1" allowOverlap="1" wp14:anchorId="26D9D04F" wp14:editId="3EED87AE">
              <wp:simplePos x="635" y="635"/>
              <wp:positionH relativeFrom="page">
                <wp:align>center</wp:align>
              </wp:positionH>
              <wp:positionV relativeFrom="page">
                <wp:align>bottom</wp:align>
              </wp:positionV>
              <wp:extent cx="1244600" cy="358140"/>
              <wp:effectExtent l="0" t="0" r="12700" b="0"/>
              <wp:wrapNone/>
              <wp:docPr id="576529757" name="Text Box 5" descr="Unclassified - Non classifi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44600" cy="358140"/>
                      </a:xfrm>
                      <a:prstGeom prst="rect">
                        <a:avLst/>
                      </a:prstGeom>
                      <a:noFill/>
                      <a:ln>
                        <a:noFill/>
                      </a:ln>
                    </wps:spPr>
                    <wps:txbx>
                      <w:txbxContent>
                        <w:p w14:paraId="1855B347" w14:textId="2ACB7ABE" w:rsidR="00F1090F" w:rsidRPr="00F1090F" w:rsidRDefault="00F1090F" w:rsidP="00F1090F">
                          <w:pPr>
                            <w:spacing w:after="0"/>
                            <w:rPr>
                              <w:rFonts w:ascii="Arial Narrow" w:eastAsia="Arial Narrow" w:hAnsi="Arial Narrow" w:cs="Arial Narrow"/>
                              <w:noProof/>
                              <w:color w:val="0000FF"/>
                              <w:sz w:val="20"/>
                              <w:szCs w:val="20"/>
                            </w:rPr>
                          </w:pPr>
                          <w:r w:rsidRPr="00F1090F">
                            <w:rPr>
                              <w:rFonts w:ascii="Arial Narrow" w:eastAsia="Arial Narrow" w:hAnsi="Arial Narrow" w:cs="Arial Narrow"/>
                              <w:noProof/>
                              <w:color w:val="0000FF"/>
                              <w:sz w:val="20"/>
                              <w:szCs w:val="20"/>
                            </w:rPr>
                            <w:t>Unclassified - Non classifié</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6D9D04F" id="_x0000_t202" coordsize="21600,21600" o:spt="202" path="m,l,21600r21600,l21600,xe">
              <v:stroke joinstyle="miter"/>
              <v:path gradientshapeok="t" o:connecttype="rect"/>
            </v:shapetype>
            <v:shape id="Text Box 5" o:spid="_x0000_s1028" type="#_x0000_t202" alt="Unclassified - Non classifié" style="position:absolute;margin-left:0;margin-top:0;width:98pt;height:28.2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" filled="f" stroked="f">
              <v:fill o:detectmouseclick="t"/>
              <v:textbox style="mso-fit-shape-to-text:t" inset="0,0,0,15pt">
                <w:txbxContent>
                  <w:p w14:paraId="1855B347" w14:textId="2ACB7ABE" w:rsidR="00F1090F" w:rsidRPr="00F1090F" w:rsidRDefault="00F1090F" w:rsidP="00F1090F">
                    <w:pPr>
                      <w:spacing w:after="0"/>
                      <w:rPr>
                        <w:rFonts w:ascii="Arial Narrow" w:eastAsia="Arial Narrow" w:hAnsi="Arial Narrow" w:cs="Arial Narrow"/>
                        <w:noProof/>
                        <w:color w:val="0000FF"/>
                        <w:sz w:val="20"/>
                        <w:szCs w:val="20"/>
                      </w:rPr>
                    </w:pPr>
                    <w:r w:rsidRPr="00F1090F">
                      <w:rPr>
                        <w:rFonts w:ascii="Arial Narrow" w:eastAsia="Arial Narrow" w:hAnsi="Arial Narrow" w:cs="Arial Narrow"/>
                        <w:noProof/>
                        <w:color w:val="0000FF"/>
                        <w:sz w:val="20"/>
                        <w:szCs w:val="20"/>
                      </w:rPr>
                      <w:t>Unclassified - Non classifié</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909AA" w14:textId="77777777" w:rsidR="002B5837" w:rsidRDefault="002B5837" w:rsidP="00494D84">
      <w:pPr>
        <w:spacing w:after="0" w:line="240" w:lineRule="auto"/>
      </w:pPr>
      <w:r>
        <w:separator/>
      </w:r>
    </w:p>
  </w:footnote>
  <w:footnote w:type="continuationSeparator" w:id="0">
    <w:p w14:paraId="11A4CDB5" w14:textId="77777777" w:rsidR="002B5837" w:rsidRDefault="002B5837" w:rsidP="00494D84">
      <w:pPr>
        <w:spacing w:after="0" w:line="240" w:lineRule="auto"/>
      </w:pPr>
      <w:r>
        <w:continuationSeparator/>
      </w:r>
    </w:p>
  </w:footnote>
  <w:footnote w:id="1">
    <w:p w14:paraId="10DDF136" w14:textId="77777777" w:rsidR="00224D1D" w:rsidRDefault="00224D1D" w:rsidP="00224D1D">
      <w:pPr>
        <w:pStyle w:val="FootnoteText"/>
      </w:pPr>
      <w:r>
        <w:rPr>
          <w:rStyle w:val="FootnoteReference"/>
        </w:rPr>
        <w:footnoteRef/>
      </w:r>
      <w:r>
        <w:t xml:space="preserve"> For the purposes of the TSI Satisfaction Survey, a ‘user’ refers to an individual who experienced one or more of the 15 Life Events over the preceding 12-month period and who undertook concrete actions to access and receive services. A ‘non-user’ refers to an individual who experienced one or more of the 15 Life Events over the preceding 12-month </w:t>
      </w:r>
      <w:proofErr w:type="gramStart"/>
      <w:r>
        <w:t>period</w:t>
      </w:r>
      <w:proofErr w:type="gramEnd"/>
      <w:r>
        <w:t xml:space="preserve"> but who did not undertake any concrete actions to access and receive services.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5C1D7" w14:textId="59F66DC4" w:rsidR="008A0D89" w:rsidRDefault="008A0D89">
    <w:pPr>
      <w:pStyle w:val="Header"/>
    </w:pPr>
    <w:r w:rsidRPr="007C7AED">
      <w:rPr>
        <w:noProof/>
        <w:lang w:val="en-US" w:eastAsia="ko-KR"/>
      </w:rPr>
      <w:drawing>
        <wp:inline distT="0" distB="0" distL="0" distR="0" wp14:anchorId="5DDDF089" wp14:editId="2661AD09">
          <wp:extent cx="5267960" cy="579120"/>
          <wp:effectExtent l="0" t="0" r="8890" b="0"/>
          <wp:docPr id="2240485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67960" cy="5791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A1521B"/>
    <w:multiLevelType w:val="hybridMultilevel"/>
    <w:tmpl w:val="AD38D02A"/>
    <w:lvl w:ilvl="0" w:tplc="18EA0DCE">
      <w:start w:val="1"/>
      <w:numFmt w:val="decimal"/>
      <w:pStyle w:val="Para"/>
      <w:lvlText w:val="%1."/>
      <w:lvlJc w:val="left"/>
      <w:pPr>
        <w:tabs>
          <w:tab w:val="num" w:pos="720"/>
        </w:tabs>
        <w:ind w:left="0" w:firstLine="0"/>
      </w:pPr>
      <w:rPr>
        <w:rFonts w:hint="default"/>
      </w:rPr>
    </w:lvl>
    <w:lvl w:ilvl="1" w:tplc="08090019" w:tentative="1">
      <w:start w:val="1"/>
      <w:numFmt w:val="lowerLetter"/>
      <w:lvlText w:val="%2."/>
      <w:lvlJc w:val="left"/>
      <w:pPr>
        <w:ind w:left="2120" w:hanging="360"/>
      </w:pPr>
    </w:lvl>
    <w:lvl w:ilvl="2" w:tplc="0809001B" w:tentative="1">
      <w:start w:val="1"/>
      <w:numFmt w:val="lowerRoman"/>
      <w:lvlText w:val="%3."/>
      <w:lvlJc w:val="right"/>
      <w:pPr>
        <w:ind w:left="2840" w:hanging="180"/>
      </w:pPr>
    </w:lvl>
    <w:lvl w:ilvl="3" w:tplc="0809000F" w:tentative="1">
      <w:start w:val="1"/>
      <w:numFmt w:val="decimal"/>
      <w:lvlText w:val="%4."/>
      <w:lvlJc w:val="left"/>
      <w:pPr>
        <w:ind w:left="3560" w:hanging="360"/>
      </w:pPr>
    </w:lvl>
    <w:lvl w:ilvl="4" w:tplc="08090019" w:tentative="1">
      <w:start w:val="1"/>
      <w:numFmt w:val="lowerLetter"/>
      <w:lvlText w:val="%5."/>
      <w:lvlJc w:val="left"/>
      <w:pPr>
        <w:ind w:left="4280" w:hanging="360"/>
      </w:pPr>
    </w:lvl>
    <w:lvl w:ilvl="5" w:tplc="0809001B" w:tentative="1">
      <w:start w:val="1"/>
      <w:numFmt w:val="lowerRoman"/>
      <w:lvlText w:val="%6."/>
      <w:lvlJc w:val="right"/>
      <w:pPr>
        <w:ind w:left="5000" w:hanging="180"/>
      </w:pPr>
    </w:lvl>
    <w:lvl w:ilvl="6" w:tplc="0809000F" w:tentative="1">
      <w:start w:val="1"/>
      <w:numFmt w:val="decimal"/>
      <w:lvlText w:val="%7."/>
      <w:lvlJc w:val="left"/>
      <w:pPr>
        <w:ind w:left="5720" w:hanging="360"/>
      </w:pPr>
    </w:lvl>
    <w:lvl w:ilvl="7" w:tplc="08090019" w:tentative="1">
      <w:start w:val="1"/>
      <w:numFmt w:val="lowerLetter"/>
      <w:lvlText w:val="%8."/>
      <w:lvlJc w:val="left"/>
      <w:pPr>
        <w:ind w:left="6440" w:hanging="360"/>
      </w:pPr>
    </w:lvl>
    <w:lvl w:ilvl="8" w:tplc="0809001B" w:tentative="1">
      <w:start w:val="1"/>
      <w:numFmt w:val="lowerRoman"/>
      <w:lvlText w:val="%9."/>
      <w:lvlJc w:val="right"/>
      <w:pPr>
        <w:ind w:left="7160" w:hanging="180"/>
      </w:pPr>
    </w:lvl>
  </w:abstractNum>
  <w:abstractNum w:abstractNumId="1" w15:restartNumberingAfterBreak="0">
    <w:nsid w:val="26170CA7"/>
    <w:multiLevelType w:val="hybridMultilevel"/>
    <w:tmpl w:val="07742A8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7E516C"/>
    <w:multiLevelType w:val="hybridMultilevel"/>
    <w:tmpl w:val="974813DC"/>
    <w:lvl w:ilvl="0" w:tplc="6EF66F78">
      <w:start w:val="1"/>
      <w:numFmt w:val="decimal"/>
      <w:pStyle w:val="NumberedList"/>
      <w:lvlText w:val="%1."/>
      <w:lvlJc w:val="left"/>
      <w:pPr>
        <w:ind w:left="680" w:hanging="340"/>
      </w:pPr>
      <w:rPr>
        <w:rFonts w:hint="default"/>
      </w:rPr>
    </w:lvl>
    <w:lvl w:ilvl="1" w:tplc="0DA27B04">
      <w:start w:val="1"/>
      <w:numFmt w:val="lowerLetter"/>
      <w:lvlText w:val="%2."/>
      <w:lvlJc w:val="left"/>
      <w:pPr>
        <w:tabs>
          <w:tab w:val="num" w:pos="680"/>
        </w:tabs>
        <w:ind w:left="1021" w:hanging="341"/>
      </w:pPr>
      <w:rPr>
        <w:rFonts w:hint="default"/>
      </w:rPr>
    </w:lvl>
    <w:lvl w:ilvl="2" w:tplc="AF249572">
      <w:start w:val="1"/>
      <w:numFmt w:val="lowerRoman"/>
      <w:lvlText w:val="%3."/>
      <w:lvlJc w:val="right"/>
      <w:pPr>
        <w:ind w:left="1361" w:hanging="227"/>
      </w:pPr>
      <w:rPr>
        <w:rFonts w:hint="default"/>
      </w:rPr>
    </w:lvl>
    <w:lvl w:ilvl="3" w:tplc="6DA6E442">
      <w:start w:val="1"/>
      <w:numFmt w:val="lowerLetter"/>
      <w:lvlText w:val="%4)"/>
      <w:lvlJc w:val="left"/>
      <w:pPr>
        <w:tabs>
          <w:tab w:val="num" w:pos="1361"/>
        </w:tabs>
        <w:ind w:left="1701" w:hanging="340"/>
      </w:pPr>
      <w:rPr>
        <w:rFonts w:hint="default"/>
      </w:rPr>
    </w:lvl>
    <w:lvl w:ilvl="4" w:tplc="1BA86D40">
      <w:start w:val="1"/>
      <w:numFmt w:val="decimal"/>
      <w:lvlText w:val="%5)"/>
      <w:lvlJc w:val="left"/>
      <w:pPr>
        <w:tabs>
          <w:tab w:val="num" w:pos="1701"/>
        </w:tabs>
        <w:ind w:left="2041" w:hanging="340"/>
      </w:pPr>
      <w:rPr>
        <w:rFonts w:hint="default"/>
      </w:r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34A678F4"/>
    <w:multiLevelType w:val="hybridMultilevel"/>
    <w:tmpl w:val="075A56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5F566E"/>
    <w:multiLevelType w:val="multilevel"/>
    <w:tmpl w:val="1C5C5F40"/>
    <w:lvl w:ilvl="0">
      <w:start w:val="1"/>
      <w:numFmt w:val="decimal"/>
      <w:pStyle w:val="Heading1"/>
      <w:suff w:val="space"/>
      <w:lvlText w:val="%1"/>
      <w:lvlJc w:val="left"/>
      <w:pPr>
        <w:ind w:left="1247" w:hanging="1134"/>
      </w:pPr>
      <w:rPr>
        <w:rFonts w:asciiTheme="majorHAnsi" w:hAnsiTheme="majorHAnsi" w:hint="default"/>
        <w:w w:val="100"/>
        <w:sz w:val="130"/>
        <w:u w:val="thick"/>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340" w:firstLine="0"/>
      </w:pPr>
      <w:rPr>
        <w:rFonts w:hint="default"/>
      </w:rPr>
    </w:lvl>
    <w:lvl w:ilvl="4">
      <w:start w:val="1"/>
      <w:numFmt w:val="none"/>
      <w:pStyle w:val="Heading5"/>
      <w:suff w:val="nothing"/>
      <w:lvlText w:val=""/>
      <w:lvlJc w:val="left"/>
      <w:pPr>
        <w:ind w:left="680" w:firstLine="0"/>
      </w:pPr>
      <w:rPr>
        <w:rFonts w:hint="default"/>
      </w:rPr>
    </w:lvl>
    <w:lvl w:ilvl="5">
      <w:start w:val="1"/>
      <w:numFmt w:val="upperRoman"/>
      <w:lvlRestart w:val="0"/>
      <w:pStyle w:val="Heading6"/>
      <w:suff w:val="space"/>
      <w:lvlText w:val="Part %6"/>
      <w:lvlJc w:val="left"/>
      <w:pPr>
        <w:ind w:left="0" w:firstLine="0"/>
      </w:pPr>
      <w:rPr>
        <w:rFonts w:asciiTheme="majorHAnsi" w:hAnsiTheme="majorHAnsi" w:hint="default"/>
        <w:sz w:val="96"/>
      </w:rPr>
    </w:lvl>
    <w:lvl w:ilvl="6">
      <w:start w:val="1"/>
      <w:numFmt w:val="upperLetter"/>
      <w:lvlRestart w:val="0"/>
      <w:pStyle w:val="Heading7"/>
      <w:suff w:val="space"/>
      <w:lvlText w:val="Annex %7."/>
      <w:lvlJc w:val="left"/>
      <w:pPr>
        <w:ind w:left="0" w:firstLine="0"/>
      </w:pPr>
      <w:rPr>
        <w:rFonts w:asciiTheme="majorHAnsi" w:hAnsiTheme="majorHAnsi" w:hint="default"/>
      </w:rPr>
    </w:lvl>
    <w:lvl w:ilvl="7">
      <w:start w:val="1"/>
      <w:numFmt w:val="upperLetter"/>
      <w:lvlRestart w:val="6"/>
      <w:pStyle w:val="Heading8"/>
      <w:suff w:val="space"/>
      <w:lvlText w:val="Annex %6.%8."/>
      <w:lvlJc w:val="left"/>
      <w:pPr>
        <w:ind w:left="0" w:firstLine="0"/>
      </w:pPr>
      <w:rPr>
        <w:rFonts w:asciiTheme="majorHAnsi" w:hAnsiTheme="majorHAnsi" w:hint="default"/>
      </w:rPr>
    </w:lvl>
    <w:lvl w:ilvl="8">
      <w:start w:val="1"/>
      <w:numFmt w:val="upperLetter"/>
      <w:lvlRestart w:val="1"/>
      <w:pStyle w:val="Heading9"/>
      <w:suff w:val="space"/>
      <w:lvlText w:val="Annex %1.%9."/>
      <w:lvlJc w:val="left"/>
      <w:pPr>
        <w:ind w:left="0" w:firstLine="0"/>
      </w:pPr>
      <w:rPr>
        <w:rFonts w:asciiTheme="majorHAnsi" w:hAnsiTheme="majorHAnsi" w:hint="default"/>
      </w:rPr>
    </w:lvl>
  </w:abstractNum>
  <w:abstractNum w:abstractNumId="5" w15:restartNumberingAfterBreak="0">
    <w:nsid w:val="5176726A"/>
    <w:multiLevelType w:val="hybridMultilevel"/>
    <w:tmpl w:val="2496E552"/>
    <w:lvl w:ilvl="0" w:tplc="D9AAEAE0">
      <w:start w:val="1"/>
      <w:numFmt w:val="bullet"/>
      <w:pStyle w:val="BulletedList"/>
      <w:lvlText w:val=""/>
      <w:lvlJc w:val="left"/>
      <w:pPr>
        <w:ind w:left="680" w:hanging="340"/>
      </w:pPr>
      <w:rPr>
        <w:rFonts w:ascii="Symbol" w:hAnsi="Symbol" w:hint="default"/>
        <w:color w:val="5B9BD5" w:themeColor="accent1"/>
      </w:rPr>
    </w:lvl>
    <w:lvl w:ilvl="1" w:tplc="3DD45682">
      <w:start w:val="1"/>
      <w:numFmt w:val="bullet"/>
      <w:lvlText w:val="o"/>
      <w:lvlJc w:val="left"/>
      <w:pPr>
        <w:tabs>
          <w:tab w:val="num" w:pos="680"/>
        </w:tabs>
        <w:ind w:left="1021" w:hanging="341"/>
      </w:pPr>
      <w:rPr>
        <w:rFonts w:ascii="Courier New" w:hAnsi="Courier New" w:hint="default"/>
      </w:rPr>
    </w:lvl>
    <w:lvl w:ilvl="2" w:tplc="75A6C844">
      <w:start w:val="1"/>
      <w:numFmt w:val="bullet"/>
      <w:lvlText w:val="‒"/>
      <w:lvlJc w:val="left"/>
      <w:pPr>
        <w:tabs>
          <w:tab w:val="num" w:pos="1021"/>
        </w:tabs>
        <w:ind w:left="1361" w:hanging="340"/>
      </w:pPr>
      <w:rPr>
        <w:rFonts w:ascii="Calibri" w:hAnsi="Calibri" w:hint="default"/>
      </w:rPr>
    </w:lvl>
    <w:lvl w:ilvl="3" w:tplc="DDBC079E">
      <w:start w:val="1"/>
      <w:numFmt w:val="bullet"/>
      <w:lvlText w:val="‒"/>
      <w:lvlJc w:val="left"/>
      <w:pPr>
        <w:tabs>
          <w:tab w:val="num" w:pos="1361"/>
        </w:tabs>
        <w:ind w:left="1701" w:hanging="340"/>
      </w:pPr>
      <w:rPr>
        <w:rFonts w:ascii="Calibri" w:hAnsi="Calibri" w:hint="default"/>
      </w:rPr>
    </w:lvl>
    <w:lvl w:ilvl="4" w:tplc="FA7AE4F4">
      <w:start w:val="1"/>
      <w:numFmt w:val="bullet"/>
      <w:lvlText w:val="‒"/>
      <w:lvlJc w:val="left"/>
      <w:pPr>
        <w:tabs>
          <w:tab w:val="num" w:pos="1701"/>
        </w:tabs>
        <w:ind w:left="2041" w:hanging="340"/>
      </w:pPr>
      <w:rPr>
        <w:rFonts w:ascii="Calibri" w:hAnsi="Calibri"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num w:numId="1" w16cid:durableId="33357924">
    <w:abstractNumId w:val="3"/>
  </w:num>
  <w:num w:numId="2" w16cid:durableId="7100038">
    <w:abstractNumId w:val="1"/>
  </w:num>
  <w:num w:numId="3" w16cid:durableId="1636645030">
    <w:abstractNumId w:val="0"/>
  </w:num>
  <w:num w:numId="4" w16cid:durableId="116144579">
    <w:abstractNumId w:val="2"/>
  </w:num>
  <w:num w:numId="5" w16cid:durableId="966354272">
    <w:abstractNumId w:val="5"/>
  </w:num>
  <w:num w:numId="6" w16cid:durableId="1761676225">
    <w:abstractNumId w:val="4"/>
  </w:num>
  <w:num w:numId="7" w16cid:durableId="560019525">
    <w:abstractNumId w:val="4"/>
  </w:num>
  <w:num w:numId="8" w16cid:durableId="2012174240">
    <w:abstractNumId w:val="4"/>
  </w:num>
  <w:num w:numId="9" w16cid:durableId="1834947726">
    <w:abstractNumId w:val="4"/>
  </w:num>
  <w:num w:numId="10" w16cid:durableId="1002704472">
    <w:abstractNumId w:val="4"/>
  </w:num>
  <w:num w:numId="11" w16cid:durableId="1972247738">
    <w:abstractNumId w:val="4"/>
  </w:num>
  <w:num w:numId="12" w16cid:durableId="1122187262">
    <w:abstractNumId w:val="4"/>
  </w:num>
  <w:num w:numId="13" w16cid:durableId="1247575094">
    <w:abstractNumId w:val="4"/>
  </w:num>
  <w:num w:numId="14" w16cid:durableId="2105612273">
    <w:abstractNumId w:val="0"/>
  </w:num>
  <w:num w:numId="15" w16cid:durableId="918831697">
    <w:abstractNumId w:val="2"/>
  </w:num>
  <w:num w:numId="16" w16cid:durableId="1469124669">
    <w:abstractNumId w:val="5"/>
  </w:num>
  <w:num w:numId="17" w16cid:durableId="1671718251">
    <w:abstractNumId w:val="4"/>
  </w:num>
  <w:num w:numId="18" w16cid:durableId="1627735247">
    <w:abstractNumId w:val="4"/>
  </w:num>
  <w:num w:numId="19" w16cid:durableId="2070615724">
    <w:abstractNumId w:val="4"/>
  </w:num>
  <w:num w:numId="20" w16cid:durableId="1286162297">
    <w:abstractNumId w:val="4"/>
  </w:num>
  <w:num w:numId="21" w16cid:durableId="5700476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784"/>
    <w:rsid w:val="00017945"/>
    <w:rsid w:val="00023B18"/>
    <w:rsid w:val="0005662A"/>
    <w:rsid w:val="00063DDC"/>
    <w:rsid w:val="00081BB9"/>
    <w:rsid w:val="00092BDA"/>
    <w:rsid w:val="000B5E97"/>
    <w:rsid w:val="000E3D06"/>
    <w:rsid w:val="000E7717"/>
    <w:rsid w:val="00135CC7"/>
    <w:rsid w:val="001421C3"/>
    <w:rsid w:val="00170084"/>
    <w:rsid w:val="00175955"/>
    <w:rsid w:val="001A6CD6"/>
    <w:rsid w:val="001C34A2"/>
    <w:rsid w:val="001C44FA"/>
    <w:rsid w:val="001F2181"/>
    <w:rsid w:val="00224D1D"/>
    <w:rsid w:val="00230B8C"/>
    <w:rsid w:val="002335FD"/>
    <w:rsid w:val="00242D83"/>
    <w:rsid w:val="002B5837"/>
    <w:rsid w:val="002F0777"/>
    <w:rsid w:val="00343959"/>
    <w:rsid w:val="00360A61"/>
    <w:rsid w:val="00382B8E"/>
    <w:rsid w:val="003C151F"/>
    <w:rsid w:val="003F24F6"/>
    <w:rsid w:val="003F2559"/>
    <w:rsid w:val="00410160"/>
    <w:rsid w:val="00410F3A"/>
    <w:rsid w:val="00426339"/>
    <w:rsid w:val="004272B7"/>
    <w:rsid w:val="0045217C"/>
    <w:rsid w:val="004851EE"/>
    <w:rsid w:val="0049406B"/>
    <w:rsid w:val="00494D84"/>
    <w:rsid w:val="004A28D6"/>
    <w:rsid w:val="004B0E34"/>
    <w:rsid w:val="004B4355"/>
    <w:rsid w:val="00501682"/>
    <w:rsid w:val="00503003"/>
    <w:rsid w:val="00512B93"/>
    <w:rsid w:val="00585606"/>
    <w:rsid w:val="005A52CB"/>
    <w:rsid w:val="00611786"/>
    <w:rsid w:val="0062598E"/>
    <w:rsid w:val="00637F24"/>
    <w:rsid w:val="00647F1A"/>
    <w:rsid w:val="00662173"/>
    <w:rsid w:val="006724C7"/>
    <w:rsid w:val="00674D3F"/>
    <w:rsid w:val="006751BD"/>
    <w:rsid w:val="00687529"/>
    <w:rsid w:val="006B2A3D"/>
    <w:rsid w:val="006E2BAF"/>
    <w:rsid w:val="006E3E7E"/>
    <w:rsid w:val="00710504"/>
    <w:rsid w:val="0071559F"/>
    <w:rsid w:val="00737816"/>
    <w:rsid w:val="00747C56"/>
    <w:rsid w:val="007A2CBC"/>
    <w:rsid w:val="007A7786"/>
    <w:rsid w:val="007B3580"/>
    <w:rsid w:val="007C5B24"/>
    <w:rsid w:val="007C606E"/>
    <w:rsid w:val="00846BCB"/>
    <w:rsid w:val="00866E2B"/>
    <w:rsid w:val="0088396F"/>
    <w:rsid w:val="0089707F"/>
    <w:rsid w:val="008A0D89"/>
    <w:rsid w:val="008E49BF"/>
    <w:rsid w:val="008F6BC3"/>
    <w:rsid w:val="009A1A39"/>
    <w:rsid w:val="009A71FD"/>
    <w:rsid w:val="009D39C0"/>
    <w:rsid w:val="009F4F70"/>
    <w:rsid w:val="00A02872"/>
    <w:rsid w:val="00A031F7"/>
    <w:rsid w:val="00A14647"/>
    <w:rsid w:val="00A40FF4"/>
    <w:rsid w:val="00A41A8C"/>
    <w:rsid w:val="00A92573"/>
    <w:rsid w:val="00AE1CD5"/>
    <w:rsid w:val="00B124F2"/>
    <w:rsid w:val="00B24959"/>
    <w:rsid w:val="00B26108"/>
    <w:rsid w:val="00B4158A"/>
    <w:rsid w:val="00B73B04"/>
    <w:rsid w:val="00B74FEE"/>
    <w:rsid w:val="00B938AA"/>
    <w:rsid w:val="00BA26B8"/>
    <w:rsid w:val="00BD0682"/>
    <w:rsid w:val="00BD08AF"/>
    <w:rsid w:val="00BE3C84"/>
    <w:rsid w:val="00BF6E6E"/>
    <w:rsid w:val="00C00106"/>
    <w:rsid w:val="00C1272B"/>
    <w:rsid w:val="00C2213A"/>
    <w:rsid w:val="00C516C8"/>
    <w:rsid w:val="00C51FE9"/>
    <w:rsid w:val="00C54FF3"/>
    <w:rsid w:val="00C70905"/>
    <w:rsid w:val="00C8422E"/>
    <w:rsid w:val="00CA2725"/>
    <w:rsid w:val="00CA4C71"/>
    <w:rsid w:val="00CC761E"/>
    <w:rsid w:val="00CE1784"/>
    <w:rsid w:val="00CE4A23"/>
    <w:rsid w:val="00CF7843"/>
    <w:rsid w:val="00D6329C"/>
    <w:rsid w:val="00D67899"/>
    <w:rsid w:val="00D70344"/>
    <w:rsid w:val="00D7304A"/>
    <w:rsid w:val="00D931B3"/>
    <w:rsid w:val="00D942F1"/>
    <w:rsid w:val="00DA003F"/>
    <w:rsid w:val="00DE584F"/>
    <w:rsid w:val="00DF1CFD"/>
    <w:rsid w:val="00DF2117"/>
    <w:rsid w:val="00E03963"/>
    <w:rsid w:val="00E11FB6"/>
    <w:rsid w:val="00E26714"/>
    <w:rsid w:val="00E378E4"/>
    <w:rsid w:val="00E47EFF"/>
    <w:rsid w:val="00E645F6"/>
    <w:rsid w:val="00E83E73"/>
    <w:rsid w:val="00E94B1D"/>
    <w:rsid w:val="00EB22F9"/>
    <w:rsid w:val="00EC3ACA"/>
    <w:rsid w:val="00F1090F"/>
    <w:rsid w:val="00F12A40"/>
    <w:rsid w:val="00F21B6F"/>
    <w:rsid w:val="00F236B1"/>
    <w:rsid w:val="00F727A9"/>
    <w:rsid w:val="00F85BA0"/>
    <w:rsid w:val="00FA4C3C"/>
    <w:rsid w:val="00FB6866"/>
    <w:rsid w:val="00FC002A"/>
    <w:rsid w:val="00FF5278"/>
    <w:rsid w:val="00FF6D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4F7C6B"/>
  <w15:chartTrackingRefBased/>
  <w15:docId w15:val="{731DF119-AD28-45F4-9E45-E43C548D8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7"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3" w:unhideWhenUsed="1" w:qFormat="1"/>
    <w:lsdException w:name="heading 7" w:semiHidden="1" w:uiPriority="19" w:unhideWhenUsed="1" w:qFormat="1"/>
    <w:lsdException w:name="heading 8" w:semiHidden="1" w:uiPriority="9" w:unhideWhenUsed="1"/>
    <w:lsdException w:name="heading 9" w:semiHidden="1" w:uiPriority="2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8"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Para0"/>
    <w:link w:val="Heading1Char"/>
    <w:uiPriority w:val="4"/>
    <w:qFormat/>
    <w:rsid w:val="001421C3"/>
    <w:pPr>
      <w:keepNext/>
      <w:keepLines/>
      <w:pageBreakBefore/>
      <w:framePr w:w="9072" w:wrap="notBeside" w:vAnchor="text" w:hAnchor="page" w:xAlign="center" w:y="1"/>
      <w:numPr>
        <w:numId w:val="13"/>
      </w:numPr>
      <w:pBdr>
        <w:top w:val="single" w:sz="48" w:space="30" w:color="ED7D31" w:themeColor="accent2"/>
        <w:left w:val="single" w:sz="48" w:space="5" w:color="ED7D31" w:themeColor="accent2"/>
        <w:bottom w:val="single" w:sz="48" w:space="5" w:color="ED7D31" w:themeColor="accent2"/>
        <w:right w:val="single" w:sz="24" w:space="5" w:color="ED7D31" w:themeColor="accent2"/>
      </w:pBdr>
      <w:shd w:val="clear" w:color="auto" w:fill="ED7D31" w:themeFill="accent2"/>
      <w:spacing w:after="600" w:line="720" w:lineRule="exact"/>
      <w:outlineLvl w:val="0"/>
    </w:pPr>
    <w:rPr>
      <w:rFonts w:asciiTheme="majorHAnsi" w:eastAsiaTheme="majorEastAsia" w:hAnsiTheme="majorHAnsi" w:cstheme="majorBidi"/>
      <w:b/>
      <w:color w:val="4472C4" w:themeColor="accent5"/>
      <w:sz w:val="56"/>
      <w:szCs w:val="32"/>
    </w:rPr>
  </w:style>
  <w:style w:type="paragraph" w:styleId="Heading2">
    <w:name w:val="heading 2"/>
    <w:next w:val="Para0"/>
    <w:link w:val="Heading2Char"/>
    <w:uiPriority w:val="7"/>
    <w:qFormat/>
    <w:rsid w:val="001421C3"/>
    <w:pPr>
      <w:keepNext/>
      <w:numPr>
        <w:ilvl w:val="1"/>
        <w:numId w:val="13"/>
      </w:numPr>
      <w:spacing w:before="440" w:after="240" w:line="320" w:lineRule="exact"/>
      <w:outlineLvl w:val="1"/>
    </w:pPr>
    <w:rPr>
      <w:rFonts w:eastAsiaTheme="majorEastAsia" w:cstheme="majorBidi"/>
      <w:b/>
      <w:color w:val="5B9BD5" w:themeColor="accent1"/>
      <w:sz w:val="24"/>
      <w:szCs w:val="26"/>
    </w:rPr>
  </w:style>
  <w:style w:type="paragraph" w:styleId="Heading3">
    <w:name w:val="heading 3"/>
    <w:next w:val="Para0"/>
    <w:link w:val="Heading3Char"/>
    <w:uiPriority w:val="9"/>
    <w:qFormat/>
    <w:rsid w:val="001421C3"/>
    <w:pPr>
      <w:keepNext/>
      <w:keepLines/>
      <w:numPr>
        <w:ilvl w:val="2"/>
        <w:numId w:val="13"/>
      </w:numPr>
      <w:spacing w:before="280" w:after="180" w:line="280" w:lineRule="exact"/>
      <w:outlineLvl w:val="2"/>
    </w:pPr>
    <w:rPr>
      <w:rFonts w:eastAsiaTheme="majorEastAsia" w:cstheme="majorBidi"/>
      <w:b/>
      <w:i/>
      <w:color w:val="000000" w:themeColor="text1"/>
      <w:szCs w:val="24"/>
    </w:rPr>
  </w:style>
  <w:style w:type="paragraph" w:styleId="Heading4">
    <w:name w:val="heading 4"/>
    <w:next w:val="Para0"/>
    <w:link w:val="Heading4Char"/>
    <w:uiPriority w:val="9"/>
    <w:qFormat/>
    <w:rsid w:val="001421C3"/>
    <w:pPr>
      <w:keepNext/>
      <w:keepLines/>
      <w:numPr>
        <w:ilvl w:val="3"/>
        <w:numId w:val="13"/>
      </w:numPr>
      <w:spacing w:before="240" w:after="180" w:line="280" w:lineRule="exact"/>
      <w:outlineLvl w:val="3"/>
    </w:pPr>
    <w:rPr>
      <w:rFonts w:eastAsiaTheme="majorEastAsia" w:cstheme="majorBidi"/>
      <w:i/>
      <w:iCs/>
      <w:color w:val="44546A" w:themeColor="text2"/>
    </w:rPr>
  </w:style>
  <w:style w:type="paragraph" w:styleId="Heading5">
    <w:name w:val="heading 5"/>
    <w:next w:val="Para0"/>
    <w:link w:val="Heading5Char"/>
    <w:uiPriority w:val="9"/>
    <w:qFormat/>
    <w:rsid w:val="001421C3"/>
    <w:pPr>
      <w:keepNext/>
      <w:keepLines/>
      <w:numPr>
        <w:ilvl w:val="4"/>
        <w:numId w:val="13"/>
      </w:numPr>
      <w:spacing w:before="240" w:after="180" w:line="260" w:lineRule="exact"/>
      <w:outlineLvl w:val="4"/>
    </w:pPr>
    <w:rPr>
      <w:rFonts w:eastAsiaTheme="majorEastAsia" w:cstheme="majorBidi"/>
      <w:b/>
      <w:color w:val="000000" w:themeColor="text1"/>
      <w:sz w:val="20"/>
    </w:rPr>
  </w:style>
  <w:style w:type="paragraph" w:styleId="Heading6">
    <w:name w:val="heading 6"/>
    <w:aliases w:val="Part"/>
    <w:next w:val="Heading1"/>
    <w:link w:val="Heading6Char"/>
    <w:uiPriority w:val="3"/>
    <w:qFormat/>
    <w:rsid w:val="001421C3"/>
    <w:pPr>
      <w:keepNext/>
      <w:pageBreakBefore/>
      <w:framePr w:w="7938" w:h="13325" w:hRule="exact" w:wrap="notBeside" w:vAnchor="page" w:hAnchor="page" w:xAlign="center" w:yAlign="center"/>
      <w:numPr>
        <w:ilvl w:val="5"/>
        <w:numId w:val="13"/>
      </w:numPr>
      <w:pBdr>
        <w:top w:val="single" w:sz="48" w:space="30" w:color="ED7D31" w:themeColor="accent2"/>
        <w:left w:val="single" w:sz="48" w:space="30" w:color="ED7D31" w:themeColor="accent2"/>
        <w:bottom w:val="single" w:sz="48" w:space="30" w:color="ED7D31" w:themeColor="accent2"/>
        <w:right w:val="single" w:sz="48" w:space="30" w:color="ED7D31" w:themeColor="accent2"/>
      </w:pBdr>
      <w:shd w:val="clear" w:color="auto" w:fill="ED7D31" w:themeFill="accent2"/>
      <w:spacing w:after="720"/>
      <w:outlineLvl w:val="5"/>
    </w:pPr>
    <w:rPr>
      <w:rFonts w:asciiTheme="majorHAnsi" w:eastAsiaTheme="majorEastAsia" w:hAnsiTheme="majorHAnsi" w:cstheme="majorBidi"/>
      <w:b/>
      <w:color w:val="4472C4" w:themeColor="accent5"/>
      <w:sz w:val="72"/>
    </w:rPr>
  </w:style>
  <w:style w:type="paragraph" w:styleId="Heading7">
    <w:name w:val="heading 7"/>
    <w:aliases w:val="Doc AnnX"/>
    <w:basedOn w:val="Heading9"/>
    <w:next w:val="Para0"/>
    <w:link w:val="Heading7Char"/>
    <w:uiPriority w:val="19"/>
    <w:qFormat/>
    <w:rsid w:val="001421C3"/>
    <w:pPr>
      <w:numPr>
        <w:ilvl w:val="6"/>
      </w:numPr>
      <w:spacing w:after="1500" w:line="600" w:lineRule="exact"/>
      <w:outlineLvl w:val="6"/>
    </w:pPr>
    <w:rPr>
      <w:b w:val="0"/>
      <w:iCs w:val="0"/>
    </w:rPr>
  </w:style>
  <w:style w:type="paragraph" w:styleId="Heading8">
    <w:name w:val="heading 8"/>
    <w:basedOn w:val="Normal"/>
    <w:next w:val="Normal"/>
    <w:link w:val="Heading8Char"/>
    <w:uiPriority w:val="9"/>
    <w:semiHidden/>
    <w:unhideWhenUsed/>
    <w:rsid w:val="00CE1784"/>
    <w:pPr>
      <w:keepNext/>
      <w:keepLines/>
      <w:numPr>
        <w:ilvl w:val="7"/>
        <w:numId w:val="13"/>
      </w:numPr>
      <w:spacing w:after="0"/>
      <w:outlineLvl w:val="7"/>
    </w:pPr>
    <w:rPr>
      <w:rFonts w:eastAsiaTheme="majorEastAsia" w:cstheme="majorBidi"/>
      <w:i/>
      <w:iCs/>
      <w:color w:val="272727" w:themeColor="text1" w:themeTint="D8"/>
    </w:rPr>
  </w:style>
  <w:style w:type="paragraph" w:styleId="Heading9">
    <w:name w:val="heading 9"/>
    <w:aliases w:val="Chap AnnX"/>
    <w:next w:val="Para0"/>
    <w:link w:val="Heading9Char"/>
    <w:uiPriority w:val="20"/>
    <w:qFormat/>
    <w:rsid w:val="001421C3"/>
    <w:pPr>
      <w:keepNext/>
      <w:pageBreakBefore/>
      <w:numPr>
        <w:ilvl w:val="8"/>
        <w:numId w:val="13"/>
      </w:numPr>
      <w:spacing w:after="960" w:line="520" w:lineRule="exact"/>
      <w:outlineLvl w:val="8"/>
    </w:pPr>
    <w:rPr>
      <w:rFonts w:asciiTheme="majorHAnsi" w:eastAsiaTheme="majorEastAsia" w:hAnsiTheme="majorHAnsi" w:cstheme="majorBidi"/>
      <w:b/>
      <w:iCs/>
      <w:color w:val="5B9BD5" w:themeColor="accent1"/>
      <w:sz w:val="48"/>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4"/>
    <w:rsid w:val="001421C3"/>
    <w:rPr>
      <w:rFonts w:asciiTheme="majorHAnsi" w:eastAsiaTheme="majorEastAsia" w:hAnsiTheme="majorHAnsi" w:cstheme="majorBidi"/>
      <w:b/>
      <w:color w:val="4472C4" w:themeColor="accent5"/>
      <w:sz w:val="56"/>
      <w:szCs w:val="32"/>
      <w:shd w:val="clear" w:color="auto" w:fill="ED7D31" w:themeFill="accent2"/>
    </w:rPr>
  </w:style>
  <w:style w:type="character" w:customStyle="1" w:styleId="Heading2Char">
    <w:name w:val="Heading 2 Char"/>
    <w:basedOn w:val="DefaultParagraphFont"/>
    <w:link w:val="Heading2"/>
    <w:uiPriority w:val="7"/>
    <w:rsid w:val="001421C3"/>
    <w:rPr>
      <w:rFonts w:eastAsiaTheme="majorEastAsia" w:cstheme="majorBidi"/>
      <w:b/>
      <w:color w:val="5B9BD5" w:themeColor="accent1"/>
      <w:sz w:val="24"/>
      <w:szCs w:val="26"/>
    </w:rPr>
  </w:style>
  <w:style w:type="character" w:customStyle="1" w:styleId="Heading3Char">
    <w:name w:val="Heading 3 Char"/>
    <w:basedOn w:val="DefaultParagraphFont"/>
    <w:link w:val="Heading3"/>
    <w:uiPriority w:val="9"/>
    <w:rsid w:val="001421C3"/>
    <w:rPr>
      <w:rFonts w:eastAsiaTheme="majorEastAsia" w:cstheme="majorBidi"/>
      <w:b/>
      <w:i/>
      <w:color w:val="000000" w:themeColor="text1"/>
      <w:szCs w:val="24"/>
    </w:rPr>
  </w:style>
  <w:style w:type="character" w:customStyle="1" w:styleId="Heading4Char">
    <w:name w:val="Heading 4 Char"/>
    <w:basedOn w:val="DefaultParagraphFont"/>
    <w:link w:val="Heading4"/>
    <w:uiPriority w:val="9"/>
    <w:rsid w:val="001421C3"/>
    <w:rPr>
      <w:rFonts w:eastAsiaTheme="majorEastAsia" w:cstheme="majorBidi"/>
      <w:i/>
      <w:iCs/>
      <w:color w:val="44546A" w:themeColor="text2"/>
    </w:rPr>
  </w:style>
  <w:style w:type="character" w:customStyle="1" w:styleId="Heading5Char">
    <w:name w:val="Heading 5 Char"/>
    <w:basedOn w:val="DefaultParagraphFont"/>
    <w:link w:val="Heading5"/>
    <w:uiPriority w:val="9"/>
    <w:rsid w:val="001421C3"/>
    <w:rPr>
      <w:rFonts w:eastAsiaTheme="majorEastAsia" w:cstheme="majorBidi"/>
      <w:b/>
      <w:color w:val="000000" w:themeColor="text1"/>
      <w:sz w:val="20"/>
    </w:rPr>
  </w:style>
  <w:style w:type="character" w:customStyle="1" w:styleId="Heading6Char">
    <w:name w:val="Heading 6 Char"/>
    <w:aliases w:val="Part Char"/>
    <w:basedOn w:val="DefaultParagraphFont"/>
    <w:link w:val="Heading6"/>
    <w:uiPriority w:val="3"/>
    <w:rsid w:val="001421C3"/>
    <w:rPr>
      <w:rFonts w:asciiTheme="majorHAnsi" w:eastAsiaTheme="majorEastAsia" w:hAnsiTheme="majorHAnsi" w:cstheme="majorBidi"/>
      <w:b/>
      <w:color w:val="4472C4" w:themeColor="accent5"/>
      <w:sz w:val="72"/>
      <w:shd w:val="clear" w:color="auto" w:fill="ED7D31" w:themeFill="accent2"/>
    </w:rPr>
  </w:style>
  <w:style w:type="character" w:customStyle="1" w:styleId="Heading7Char">
    <w:name w:val="Heading 7 Char"/>
    <w:aliases w:val="Doc AnnX Char"/>
    <w:basedOn w:val="DefaultParagraphFont"/>
    <w:link w:val="Heading7"/>
    <w:uiPriority w:val="19"/>
    <w:rsid w:val="001421C3"/>
    <w:rPr>
      <w:rFonts w:asciiTheme="majorHAnsi" w:eastAsiaTheme="majorEastAsia" w:hAnsiTheme="majorHAnsi" w:cstheme="majorBidi"/>
      <w:b/>
      <w:iCs/>
      <w:color w:val="5B9BD5" w:themeColor="accent1"/>
      <w:sz w:val="48"/>
      <w:szCs w:val="21"/>
    </w:rPr>
  </w:style>
  <w:style w:type="character" w:customStyle="1" w:styleId="Heading8Char">
    <w:name w:val="Heading 8 Char"/>
    <w:basedOn w:val="DefaultParagraphFont"/>
    <w:link w:val="Heading8"/>
    <w:uiPriority w:val="9"/>
    <w:semiHidden/>
    <w:rsid w:val="00CE1784"/>
    <w:rPr>
      <w:rFonts w:eastAsiaTheme="majorEastAsia" w:cstheme="majorBidi"/>
      <w:i/>
      <w:iCs/>
      <w:color w:val="272727" w:themeColor="text1" w:themeTint="D8"/>
    </w:rPr>
  </w:style>
  <w:style w:type="character" w:customStyle="1" w:styleId="Heading9Char">
    <w:name w:val="Heading 9 Char"/>
    <w:aliases w:val="Chap AnnX Char"/>
    <w:basedOn w:val="DefaultParagraphFont"/>
    <w:link w:val="Heading9"/>
    <w:uiPriority w:val="20"/>
    <w:rsid w:val="001421C3"/>
    <w:rPr>
      <w:rFonts w:asciiTheme="majorHAnsi" w:eastAsiaTheme="majorEastAsia" w:hAnsiTheme="majorHAnsi" w:cstheme="majorBidi"/>
      <w:b/>
      <w:iCs/>
      <w:color w:val="5B9BD5" w:themeColor="accent1"/>
      <w:sz w:val="48"/>
      <w:szCs w:val="21"/>
    </w:rPr>
  </w:style>
  <w:style w:type="paragraph" w:styleId="Title">
    <w:name w:val="Title"/>
    <w:next w:val="Para0"/>
    <w:link w:val="TitleChar"/>
    <w:qFormat/>
    <w:rsid w:val="001421C3"/>
    <w:pPr>
      <w:keepNext/>
      <w:keepLines/>
      <w:pageBreakBefore/>
      <w:spacing w:after="2000" w:line="840" w:lineRule="exact"/>
      <w:outlineLvl w:val="0"/>
    </w:pPr>
    <w:rPr>
      <w:rFonts w:asciiTheme="majorHAnsi" w:eastAsiaTheme="majorEastAsia" w:hAnsiTheme="majorHAnsi" w:cstheme="majorBidi"/>
      <w:b/>
      <w:color w:val="5B9BD5" w:themeColor="accent1"/>
      <w:sz w:val="72"/>
      <w:szCs w:val="56"/>
    </w:rPr>
  </w:style>
  <w:style w:type="character" w:customStyle="1" w:styleId="TitleChar">
    <w:name w:val="Title Char"/>
    <w:basedOn w:val="DefaultParagraphFont"/>
    <w:link w:val="Title"/>
    <w:rsid w:val="001421C3"/>
    <w:rPr>
      <w:rFonts w:asciiTheme="majorHAnsi" w:eastAsiaTheme="majorEastAsia" w:hAnsiTheme="majorHAnsi" w:cstheme="majorBidi"/>
      <w:b/>
      <w:color w:val="5B9BD5" w:themeColor="accent1"/>
      <w:sz w:val="72"/>
      <w:szCs w:val="56"/>
    </w:rPr>
  </w:style>
  <w:style w:type="paragraph" w:styleId="Subtitle">
    <w:name w:val="Subtitle"/>
    <w:basedOn w:val="Normal"/>
    <w:next w:val="Normal"/>
    <w:link w:val="SubtitleChar"/>
    <w:uiPriority w:val="11"/>
    <w:rsid w:val="00CE17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1784"/>
    <w:rPr>
      <w:rFonts w:eastAsiaTheme="majorEastAsia" w:cstheme="majorBidi"/>
      <w:color w:val="595959" w:themeColor="text1" w:themeTint="A6"/>
      <w:spacing w:val="15"/>
      <w:sz w:val="28"/>
      <w:szCs w:val="28"/>
    </w:rPr>
  </w:style>
  <w:style w:type="paragraph" w:styleId="Quote">
    <w:name w:val="Quote"/>
    <w:aliases w:val="Quotation (long)"/>
    <w:basedOn w:val="Normal"/>
    <w:link w:val="QuoteChar"/>
    <w:uiPriority w:val="18"/>
    <w:qFormat/>
    <w:rsid w:val="001421C3"/>
    <w:pPr>
      <w:pBdr>
        <w:left w:val="single" w:sz="18" w:space="4" w:color="7F7F7F" w:themeColor="text1" w:themeTint="80"/>
      </w:pBdr>
      <w:spacing w:before="180" w:after="180" w:line="240" w:lineRule="auto"/>
      <w:ind w:left="680" w:right="680"/>
      <w:jc w:val="both"/>
    </w:pPr>
    <w:rPr>
      <w:rFonts w:asciiTheme="majorHAnsi" w:hAnsiTheme="majorHAnsi"/>
      <w:i/>
      <w:iCs/>
      <w:color w:val="000000" w:themeColor="text1"/>
      <w:sz w:val="20"/>
    </w:rPr>
  </w:style>
  <w:style w:type="character" w:customStyle="1" w:styleId="QuoteChar">
    <w:name w:val="Quote Char"/>
    <w:aliases w:val="Quotation (long) Char"/>
    <w:basedOn w:val="DefaultParagraphFont"/>
    <w:link w:val="Quote"/>
    <w:uiPriority w:val="18"/>
    <w:rsid w:val="001421C3"/>
    <w:rPr>
      <w:rFonts w:asciiTheme="majorHAnsi" w:hAnsiTheme="majorHAnsi"/>
      <w:i/>
      <w:iCs/>
      <w:color w:val="000000" w:themeColor="text1"/>
      <w:sz w:val="20"/>
    </w:rPr>
  </w:style>
  <w:style w:type="paragraph" w:styleId="ListParagraph">
    <w:name w:val="List Paragraph"/>
    <w:basedOn w:val="Normal"/>
    <w:uiPriority w:val="34"/>
    <w:qFormat/>
    <w:rsid w:val="00CE1784"/>
    <w:pPr>
      <w:ind w:left="720"/>
      <w:contextualSpacing/>
    </w:pPr>
  </w:style>
  <w:style w:type="character" w:styleId="IntenseEmphasis">
    <w:name w:val="Intense Emphasis"/>
    <w:basedOn w:val="DefaultParagraphFont"/>
    <w:uiPriority w:val="21"/>
    <w:rsid w:val="00CE1784"/>
    <w:rPr>
      <w:i/>
      <w:iCs/>
      <w:color w:val="2E74B5" w:themeColor="accent1" w:themeShade="BF"/>
    </w:rPr>
  </w:style>
  <w:style w:type="paragraph" w:styleId="IntenseQuote">
    <w:name w:val="Intense Quote"/>
    <w:basedOn w:val="Normal"/>
    <w:next w:val="Normal"/>
    <w:link w:val="IntenseQuoteChar"/>
    <w:uiPriority w:val="30"/>
    <w:rsid w:val="00CE178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CE1784"/>
    <w:rPr>
      <w:i/>
      <w:iCs/>
      <w:color w:val="2E74B5" w:themeColor="accent1" w:themeShade="BF"/>
    </w:rPr>
  </w:style>
  <w:style w:type="character" w:styleId="IntenseReference">
    <w:name w:val="Intense Reference"/>
    <w:basedOn w:val="DefaultParagraphFont"/>
    <w:uiPriority w:val="32"/>
    <w:rsid w:val="00CE1784"/>
    <w:rPr>
      <w:b/>
      <w:bCs/>
      <w:smallCaps/>
      <w:color w:val="2E74B5" w:themeColor="accent1" w:themeShade="BF"/>
      <w:spacing w:val="5"/>
    </w:rPr>
  </w:style>
  <w:style w:type="paragraph" w:customStyle="1" w:styleId="Para0">
    <w:name w:val="Para"/>
    <w:link w:val="ParaChar"/>
    <w:uiPriority w:val="4"/>
    <w:qFormat/>
    <w:rsid w:val="001421C3"/>
    <w:pPr>
      <w:spacing w:before="120" w:after="120" w:line="260" w:lineRule="atLeast"/>
      <w:jc w:val="both"/>
    </w:pPr>
    <w:rPr>
      <w:color w:val="000000" w:themeColor="text1"/>
      <w:sz w:val="20"/>
    </w:rPr>
  </w:style>
  <w:style w:type="character" w:customStyle="1" w:styleId="ParaChar">
    <w:name w:val="Para Char"/>
    <w:basedOn w:val="DefaultParagraphFont"/>
    <w:link w:val="Para0"/>
    <w:uiPriority w:val="4"/>
    <w:rsid w:val="001421C3"/>
    <w:rPr>
      <w:color w:val="000000" w:themeColor="text1"/>
      <w:sz w:val="20"/>
    </w:rPr>
  </w:style>
  <w:style w:type="paragraph" w:styleId="Footer">
    <w:name w:val="footer"/>
    <w:basedOn w:val="Normal"/>
    <w:link w:val="FooterChar"/>
    <w:uiPriority w:val="99"/>
    <w:unhideWhenUsed/>
    <w:rsid w:val="00494D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4D84"/>
  </w:style>
  <w:style w:type="paragraph" w:styleId="Caption">
    <w:name w:val="caption"/>
    <w:next w:val="Normal"/>
    <w:uiPriority w:val="35"/>
    <w:unhideWhenUsed/>
    <w:rsid w:val="00A41A8C"/>
    <w:pPr>
      <w:keepNext/>
      <w:spacing w:before="360" w:after="180" w:line="280" w:lineRule="exact"/>
    </w:pPr>
    <w:rPr>
      <w:rFonts w:asciiTheme="majorHAnsi" w:hAnsiTheme="majorHAnsi"/>
      <w:b/>
      <w:iCs/>
      <w:color w:val="5B9BD5" w:themeColor="accent1"/>
      <w:sz w:val="24"/>
      <w:szCs w:val="18"/>
    </w:rPr>
  </w:style>
  <w:style w:type="paragraph" w:customStyle="1" w:styleId="Sourcenotes">
    <w:name w:val="Source &amp; notes"/>
    <w:uiPriority w:val="16"/>
    <w:qFormat/>
    <w:rsid w:val="001421C3"/>
    <w:pPr>
      <w:keepLines/>
      <w:spacing w:before="120" w:after="360" w:line="220" w:lineRule="exact"/>
      <w:contextualSpacing/>
      <w:jc w:val="both"/>
    </w:pPr>
    <w:rPr>
      <w:rFonts w:asciiTheme="majorHAnsi" w:hAnsiTheme="majorHAnsi"/>
      <w:color w:val="000000" w:themeColor="text1"/>
      <w:sz w:val="18"/>
    </w:rPr>
  </w:style>
  <w:style w:type="paragraph" w:customStyle="1" w:styleId="Figure">
    <w:name w:val="Figure"/>
    <w:basedOn w:val="Normal"/>
    <w:rsid w:val="00A41A8C"/>
    <w:pPr>
      <w:widowControl w:val="0"/>
      <w:spacing w:after="0" w:line="240" w:lineRule="auto"/>
      <w:jc w:val="center"/>
    </w:pPr>
  </w:style>
  <w:style w:type="paragraph" w:customStyle="1" w:styleId="Title2">
    <w:name w:val="Title 2"/>
    <w:next w:val="Para0"/>
    <w:uiPriority w:val="1"/>
    <w:qFormat/>
    <w:rsid w:val="001421C3"/>
    <w:pPr>
      <w:keepNext/>
      <w:spacing w:before="360" w:after="240" w:line="320" w:lineRule="exact"/>
      <w:outlineLvl w:val="1"/>
    </w:pPr>
    <w:rPr>
      <w:rFonts w:eastAsiaTheme="majorEastAsia" w:cstheme="majorBidi"/>
      <w:b/>
      <w:color w:val="5B9BD5" w:themeColor="accent1"/>
      <w:sz w:val="24"/>
      <w:szCs w:val="26"/>
    </w:rPr>
  </w:style>
  <w:style w:type="paragraph" w:customStyle="1" w:styleId="Title3">
    <w:name w:val="Title 3"/>
    <w:next w:val="Para0"/>
    <w:uiPriority w:val="2"/>
    <w:qFormat/>
    <w:rsid w:val="001421C3"/>
    <w:pPr>
      <w:keepNext/>
      <w:spacing w:before="280" w:after="180" w:line="280" w:lineRule="exact"/>
      <w:outlineLvl w:val="2"/>
    </w:pPr>
    <w:rPr>
      <w:rFonts w:eastAsiaTheme="majorEastAsia" w:cstheme="majorBidi"/>
      <w:b/>
      <w:i/>
      <w:color w:val="000000" w:themeColor="text1"/>
      <w:szCs w:val="24"/>
    </w:rPr>
  </w:style>
  <w:style w:type="paragraph" w:customStyle="1" w:styleId="Abstract">
    <w:name w:val="Abstract"/>
    <w:uiPriority w:val="5"/>
    <w:qFormat/>
    <w:rsid w:val="001421C3"/>
    <w:pPr>
      <w:pBdr>
        <w:top w:val="single" w:sz="12" w:space="12" w:color="5B9BD5" w:themeColor="accent1"/>
        <w:bottom w:val="single" w:sz="36" w:space="12" w:color="5B9BD5" w:themeColor="accent1"/>
      </w:pBdr>
      <w:spacing w:before="3000" w:after="60" w:line="320" w:lineRule="exact"/>
      <w:ind w:left="1247"/>
      <w:contextualSpacing/>
    </w:pPr>
    <w:rPr>
      <w:color w:val="5B9BD5" w:themeColor="accent1"/>
      <w:sz w:val="24"/>
    </w:rPr>
  </w:style>
  <w:style w:type="paragraph" w:customStyle="1" w:styleId="Para">
    <w:name w:val="Para #"/>
    <w:uiPriority w:val="4"/>
    <w:qFormat/>
    <w:rsid w:val="001421C3"/>
    <w:pPr>
      <w:numPr>
        <w:numId w:val="14"/>
      </w:numPr>
      <w:spacing w:before="120" w:after="120" w:line="260" w:lineRule="atLeast"/>
      <w:jc w:val="both"/>
    </w:pPr>
    <w:rPr>
      <w:sz w:val="20"/>
    </w:rPr>
  </w:style>
  <w:style w:type="paragraph" w:customStyle="1" w:styleId="NumberedList">
    <w:name w:val="Numbered List"/>
    <w:uiPriority w:val="12"/>
    <w:qFormat/>
    <w:rsid w:val="001421C3"/>
    <w:pPr>
      <w:numPr>
        <w:numId w:val="15"/>
      </w:numPr>
      <w:spacing w:after="60" w:line="260" w:lineRule="exact"/>
      <w:jc w:val="both"/>
    </w:pPr>
    <w:rPr>
      <w:color w:val="000000" w:themeColor="text1"/>
      <w:sz w:val="20"/>
    </w:rPr>
  </w:style>
  <w:style w:type="paragraph" w:customStyle="1" w:styleId="BulletedList">
    <w:name w:val="Bulleted List"/>
    <w:uiPriority w:val="12"/>
    <w:qFormat/>
    <w:rsid w:val="001421C3"/>
    <w:pPr>
      <w:numPr>
        <w:numId w:val="16"/>
      </w:numPr>
      <w:spacing w:after="60" w:line="260" w:lineRule="exact"/>
      <w:jc w:val="both"/>
    </w:pPr>
    <w:rPr>
      <w:color w:val="000000" w:themeColor="text1"/>
      <w:sz w:val="20"/>
    </w:rPr>
  </w:style>
  <w:style w:type="paragraph" w:customStyle="1" w:styleId="BoxHeading">
    <w:name w:val="Box Heading"/>
    <w:next w:val="Para0"/>
    <w:uiPriority w:val="13"/>
    <w:qFormat/>
    <w:rsid w:val="001421C3"/>
    <w:pPr>
      <w:keepNext/>
      <w:spacing w:before="180" w:after="120"/>
    </w:pPr>
    <w:rPr>
      <w:rFonts w:asciiTheme="majorHAnsi" w:hAnsiTheme="majorHAnsi"/>
      <w:b/>
      <w:color w:val="000000" w:themeColor="text1"/>
    </w:rPr>
  </w:style>
  <w:style w:type="paragraph" w:customStyle="1" w:styleId="TableCell">
    <w:name w:val="Table Cell"/>
    <w:basedOn w:val="Normal"/>
    <w:uiPriority w:val="15"/>
    <w:qFormat/>
    <w:rsid w:val="001421C3"/>
    <w:pPr>
      <w:widowControl w:val="0"/>
      <w:spacing w:before="10" w:after="20" w:line="200" w:lineRule="exact"/>
      <w:jc w:val="right"/>
    </w:pPr>
    <w:rPr>
      <w:rFonts w:ascii="Arial Narrow" w:hAnsi="Arial Narrow"/>
      <w:color w:val="000000" w:themeColor="text1"/>
      <w:sz w:val="17"/>
    </w:rPr>
  </w:style>
  <w:style w:type="paragraph" w:customStyle="1" w:styleId="TableRow">
    <w:name w:val="Table Row"/>
    <w:uiPriority w:val="15"/>
    <w:qFormat/>
    <w:rsid w:val="001421C3"/>
    <w:pPr>
      <w:spacing w:before="10" w:after="20" w:line="200" w:lineRule="exact"/>
    </w:pPr>
    <w:rPr>
      <w:rFonts w:ascii="Arial Narrow" w:hAnsi="Arial Narrow"/>
      <w:color w:val="000000" w:themeColor="text1"/>
      <w:sz w:val="17"/>
    </w:rPr>
  </w:style>
  <w:style w:type="paragraph" w:customStyle="1" w:styleId="TableColumn">
    <w:name w:val="Table Column"/>
    <w:uiPriority w:val="15"/>
    <w:qFormat/>
    <w:rsid w:val="001421C3"/>
    <w:pPr>
      <w:spacing w:before="20" w:after="0" w:line="220" w:lineRule="exact"/>
      <w:jc w:val="center"/>
    </w:pPr>
    <w:rPr>
      <w:rFonts w:ascii="Arial Narrow" w:hAnsi="Arial Narrow"/>
      <w:color w:val="000000" w:themeColor="text1"/>
      <w:sz w:val="18"/>
    </w:rPr>
  </w:style>
  <w:style w:type="paragraph" w:customStyle="1" w:styleId="Quotationshort">
    <w:name w:val="Quotation (short)"/>
    <w:uiPriority w:val="17"/>
    <w:qFormat/>
    <w:rsid w:val="001421C3"/>
    <w:pPr>
      <w:spacing w:before="360" w:after="360" w:line="360" w:lineRule="exact"/>
      <w:ind w:left="2268"/>
      <w:jc w:val="both"/>
    </w:pPr>
    <w:rPr>
      <w:rFonts w:asciiTheme="majorHAnsi" w:hAnsiTheme="majorHAnsi"/>
      <w:iCs/>
      <w:color w:val="5B9BD5" w:themeColor="accent1"/>
      <w:sz w:val="28"/>
    </w:rPr>
  </w:style>
  <w:style w:type="paragraph" w:customStyle="1" w:styleId="AnnexH2">
    <w:name w:val="Annex H2"/>
    <w:next w:val="Para0"/>
    <w:uiPriority w:val="21"/>
    <w:qFormat/>
    <w:rsid w:val="001421C3"/>
    <w:pPr>
      <w:keepNext/>
      <w:spacing w:before="360" w:after="240" w:line="320" w:lineRule="exact"/>
      <w:outlineLvl w:val="1"/>
    </w:pPr>
    <w:rPr>
      <w:b/>
      <w:color w:val="5B9BD5" w:themeColor="accent1"/>
      <w:sz w:val="24"/>
    </w:rPr>
  </w:style>
  <w:style w:type="paragraph" w:customStyle="1" w:styleId="AnnexH3">
    <w:name w:val="Annex H3"/>
    <w:next w:val="Para0"/>
    <w:uiPriority w:val="21"/>
    <w:qFormat/>
    <w:rsid w:val="001421C3"/>
    <w:pPr>
      <w:keepNext/>
      <w:keepLines/>
      <w:spacing w:before="280" w:after="180" w:line="280" w:lineRule="exact"/>
      <w:outlineLvl w:val="2"/>
    </w:pPr>
    <w:rPr>
      <w:b/>
      <w:i/>
      <w:color w:val="44546A" w:themeColor="text2"/>
    </w:rPr>
  </w:style>
  <w:style w:type="paragraph" w:customStyle="1" w:styleId="ParaOpener">
    <w:name w:val="Para Opener"/>
    <w:next w:val="Para0"/>
    <w:uiPriority w:val="11"/>
    <w:qFormat/>
    <w:rsid w:val="001421C3"/>
    <w:pPr>
      <w:spacing w:before="240" w:after="240" w:line="320" w:lineRule="exact"/>
      <w:jc w:val="both"/>
    </w:pPr>
    <w:rPr>
      <w:rFonts w:asciiTheme="majorHAnsi" w:hAnsiTheme="majorHAnsi"/>
      <w:color w:val="5B9BD5" w:themeColor="accent1"/>
      <w:sz w:val="24"/>
    </w:rPr>
  </w:style>
  <w:style w:type="paragraph" w:customStyle="1" w:styleId="Author">
    <w:name w:val="Author"/>
    <w:next w:val="Para0"/>
    <w:uiPriority w:val="6"/>
    <w:qFormat/>
    <w:rsid w:val="001421C3"/>
    <w:pPr>
      <w:spacing w:before="180" w:after="240" w:line="260" w:lineRule="exact"/>
      <w:ind w:right="284"/>
      <w:jc w:val="right"/>
    </w:pPr>
    <w:rPr>
      <w:rFonts w:asciiTheme="majorHAnsi" w:hAnsiTheme="majorHAnsi"/>
    </w:rPr>
  </w:style>
  <w:style w:type="paragraph" w:customStyle="1" w:styleId="Heading2Indicator">
    <w:name w:val="Heading 2 (Indicator)"/>
    <w:next w:val="Para0"/>
    <w:uiPriority w:val="8"/>
    <w:qFormat/>
    <w:rsid w:val="001421C3"/>
    <w:pPr>
      <w:pageBreakBefore/>
      <w:spacing w:after="480" w:line="560" w:lineRule="exact"/>
      <w:outlineLvl w:val="1"/>
    </w:pPr>
    <w:rPr>
      <w:rFonts w:asciiTheme="majorHAnsi" w:eastAsiaTheme="majorEastAsia" w:hAnsiTheme="majorHAnsi" w:cstheme="majorBidi"/>
      <w:b/>
      <w:color w:val="5B9BD5" w:themeColor="accent1"/>
      <w:sz w:val="52"/>
      <w:szCs w:val="26"/>
    </w:rPr>
  </w:style>
  <w:style w:type="paragraph" w:customStyle="1" w:styleId="BoxHeading2">
    <w:name w:val="Box Heading 2"/>
    <w:next w:val="Para0"/>
    <w:uiPriority w:val="14"/>
    <w:qFormat/>
    <w:rsid w:val="001421C3"/>
    <w:pPr>
      <w:spacing w:before="180" w:after="120" w:line="240" w:lineRule="auto"/>
    </w:pPr>
    <w:rPr>
      <w:rFonts w:asciiTheme="majorHAnsi" w:hAnsiTheme="majorHAnsi"/>
      <w:b/>
      <w:i/>
      <w:color w:val="000000" w:themeColor="text1"/>
    </w:rPr>
  </w:style>
  <w:style w:type="table" w:styleId="TableGrid">
    <w:name w:val="Table Grid"/>
    <w:basedOn w:val="TableNormal"/>
    <w:uiPriority w:val="39"/>
    <w:rsid w:val="00B73B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link w:val="FootnoteTextChar"/>
    <w:uiPriority w:val="99"/>
    <w:semiHidden/>
    <w:unhideWhenUsed/>
    <w:rsid w:val="00224D1D"/>
    <w:pPr>
      <w:spacing w:after="120" w:line="240" w:lineRule="exact"/>
      <w:jc w:val="both"/>
    </w:pPr>
    <w:rPr>
      <w:sz w:val="18"/>
      <w:szCs w:val="20"/>
    </w:rPr>
  </w:style>
  <w:style w:type="character" w:customStyle="1" w:styleId="FootnoteTextChar">
    <w:name w:val="Footnote Text Char"/>
    <w:basedOn w:val="DefaultParagraphFont"/>
    <w:link w:val="FootnoteText"/>
    <w:uiPriority w:val="99"/>
    <w:semiHidden/>
    <w:rsid w:val="00224D1D"/>
    <w:rPr>
      <w:sz w:val="18"/>
      <w:szCs w:val="20"/>
    </w:rPr>
  </w:style>
  <w:style w:type="character" w:styleId="FootnoteReference">
    <w:name w:val="footnote reference"/>
    <w:basedOn w:val="DefaultParagraphFont"/>
    <w:uiPriority w:val="99"/>
    <w:semiHidden/>
    <w:unhideWhenUsed/>
    <w:rsid w:val="00224D1D"/>
    <w:rPr>
      <w:rFonts w:asciiTheme="minorHAnsi" w:hAnsiTheme="minorHAnsi"/>
      <w:sz w:val="22"/>
      <w:vertAlign w:val="superscript"/>
    </w:rPr>
  </w:style>
  <w:style w:type="paragraph" w:styleId="Header">
    <w:name w:val="header"/>
    <w:basedOn w:val="Normal"/>
    <w:link w:val="HeaderChar"/>
    <w:uiPriority w:val="99"/>
    <w:unhideWhenUsed/>
    <w:rsid w:val="00E267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67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3.xml"/><Relationship Id="rId27"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oecd-en.xsl" StyleName="OECD English" Version="20220221">
  <b:Source>
    <b:Tag>Kapp_9a20554b</b:Tag>
    <b:SourceType>Book</b:SourceType>
    <b:Title>OECD Survey on Drivers of Trust in Public Institutions – 2024 Results: Building Trust in a Complex Policy Environment</b:Title>
    <b:Year>2024</b:Year>
    <b:Publisher>OECD Publishing, Paris</b:Publisher>
    <b:Author>
      <b:Author>
        <b:Corporate>OECD</b:Corporate>
      </b:Author>
    </b:Author>
    <b:DOI>10.1787/9a20554b-en</b:DOI>
    <b:LCID>en-GB</b:LCID>
    <b:Version>Kappa</b:Version>
    <b:RefOrder>1</b:RefOrder>
  </b:Source>
  <b:Source>
    <b:Tag>Kapp_0efd0bcd</b:Tag>
    <b:SourceType>ArticleInAPeriodical</b:SourceType>
    <b:Title>Government at a Glance 2025</b:Title>
    <b:Year>2025</b:Year>
    <b:Publisher>OECD Publishing, Paris</b:Publisher>
    <b:Author>
      <b:Author>
        <b:Corporate>OECD</b:Corporate>
      </b:Author>
    </b:Author>
    <b:Medium>Book</b:Medium>
    <b:DOI>10.1787/0efd0bcd-en</b:DOI>
    <b:LCID>en-GB</b:LCID>
    <b:Version>Kappa</b:Version>
    <b:RefOrder>2</b:RefOrder>
  </b:Source>
</b:Sources>
</file>

<file path=customXml/item2.xml><?xml version="1.0" encoding="utf-8"?>
<ct:contentTypeSchema xmlns:ct="http://schemas.microsoft.com/office/2006/metadata/contentType" xmlns:ma="http://schemas.microsoft.com/office/2006/metadata/properties/metaAttributes" ct:_="" ma:_="" ma:contentTypeName="Document" ma:contentTypeID="0x010100EA83A5365945FB4FB67E7D55540DD4AF" ma:contentTypeVersion="10" ma:contentTypeDescription="Create a new document." ma:contentTypeScope="" ma:versionID="6daf4fb1011b4f20905e971498b9b60a">
  <xsd:schema xmlns:xsd="http://www.w3.org/2001/XMLSchema" xmlns:xs="http://www.w3.org/2001/XMLSchema" xmlns:p="http://schemas.microsoft.com/office/2006/metadata/properties" xmlns:ns2="7ed0ac92-bd02-463e-8d88-185c6a052b2b" xmlns:ns3="782a27e4-222f-4801-85ad-fe77cea18bfd" targetNamespace="http://schemas.microsoft.com/office/2006/metadata/properties" ma:root="true" ma:fieldsID="f99e5b1422eb1a396441fcf3fc724ffa" ns2:_="" ns3:_="">
    <xsd:import namespace="7ed0ac92-bd02-463e-8d88-185c6a052b2b"/>
    <xsd:import namespace="782a27e4-222f-4801-85ad-fe77cea18bf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d0ac92-bd02-463e-8d88-185c6a052b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82a27e4-222f-4801-85ad-fe77cea18bf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E33CAA4-18E2-4E23-8101-8E2D99E61CD5}">
  <ds:schemaRefs>
    <ds:schemaRef ds:uri="http://schemas.openxmlformats.org/officeDocument/2006/bibliography"/>
  </ds:schemaRefs>
</ds:datastoreItem>
</file>

<file path=customXml/itemProps2.xml><?xml version="1.0" encoding="utf-8"?>
<ds:datastoreItem xmlns:ds="http://schemas.openxmlformats.org/officeDocument/2006/customXml" ds:itemID="{A7E3E4D0-F347-456B-B267-515B9FF8F36D}"/>
</file>

<file path=customXml/itemProps3.xml><?xml version="1.0" encoding="utf-8"?>
<ds:datastoreItem xmlns:ds="http://schemas.openxmlformats.org/officeDocument/2006/customXml" ds:itemID="{D309B19A-C257-4D65-893D-544DF5F8BC94}"/>
</file>

<file path=customXml/itemProps4.xml><?xml version="1.0" encoding="utf-8"?>
<ds:datastoreItem xmlns:ds="http://schemas.openxmlformats.org/officeDocument/2006/customXml" ds:itemID="{3D2A542C-863A-4289-B07E-A67D43EE0AAA}"/>
</file>

<file path=docProps/app.xml><?xml version="1.0" encoding="utf-8"?>
<Properties xmlns="http://schemas.openxmlformats.org/officeDocument/2006/extended-properties" xmlns:vt="http://schemas.openxmlformats.org/officeDocument/2006/docPropsVTypes">
  <Template>Normal.dotm</Template>
  <TotalTime>174</TotalTime>
  <Pages>13</Pages>
  <Words>2986</Words>
  <Characters>18219</Characters>
  <Application>Microsoft Office Word</Application>
  <DocSecurity>0</DocSecurity>
  <Lines>414</Lines>
  <Paragraphs>184</Paragraphs>
  <ScaleCrop>false</ScaleCrop>
  <HeadingPairs>
    <vt:vector size="2" baseType="variant">
      <vt:variant>
        <vt:lpstr>Title</vt:lpstr>
      </vt:variant>
      <vt:variant>
        <vt:i4>1</vt:i4>
      </vt:variant>
    </vt:vector>
  </HeadingPairs>
  <TitlesOfParts>
    <vt:vector size="1" baseType="lpstr">
      <vt:lpstr/>
    </vt:vector>
  </TitlesOfParts>
  <Company>OECD</Company>
  <LinksUpToDate>false</LinksUpToDate>
  <CharactersWithSpaces>21021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Emilie Balbirnie</dc:creator>
  <cp:keywords/>
  <dc:description/>
  <cp:lastModifiedBy>Emilie Balbirnie</cp:lastModifiedBy>
  <cp:revision>129</cp:revision>
  <dcterms:created xsi:type="dcterms:W3CDTF">2025-12-22T13:07:00Z</dcterms:created>
  <dcterms:modified xsi:type="dcterms:W3CDTF">2026-06-02T17:04:00Z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225d255d,7093fa87,5787f64c</vt:lpwstr>
  </property>
  <property fmtid="{D5CDD505-2E9C-101B-9397-08002B2CF9AE}" pid="3" name="ClassificationContentMarkingFooterFontProps">
    <vt:lpwstr>#0000ff,10,Arial Narrow</vt:lpwstr>
  </property>
  <property fmtid="{D5CDD505-2E9C-101B-9397-08002B2CF9AE}" pid="4" name="ClassificationContentMarkingFooterText">
    <vt:lpwstr>Unclassified - Non classifié</vt:lpwstr>
  </property>
  <property fmtid="{D5CDD505-2E9C-101B-9397-08002B2CF9AE}" pid="5" name="MSIP_Label_0b2d0c28-e13a-4801-bbf0-29bdaa81743b_Enabled">
    <vt:lpwstr>true</vt:lpwstr>
  </property>
  <property fmtid="{D5CDD505-2E9C-101B-9397-08002B2CF9AE}" pid="6" name="MSIP_Label_0b2d0c28-e13a-4801-bbf0-29bdaa81743b_SetDate">
    <vt:lpwstr>2026-06-02T17:01:39Z</vt:lpwstr>
  </property>
  <property fmtid="{D5CDD505-2E9C-101B-9397-08002B2CF9AE}" pid="7" name="MSIP_Label_0b2d0c28-e13a-4801-bbf0-29bdaa81743b_Method">
    <vt:lpwstr>Privileged</vt:lpwstr>
  </property>
  <property fmtid="{D5CDD505-2E9C-101B-9397-08002B2CF9AE}" pid="8" name="MSIP_Label_0b2d0c28-e13a-4801-bbf0-29bdaa81743b_Name">
    <vt:lpwstr>Unclassified</vt:lpwstr>
  </property>
  <property fmtid="{D5CDD505-2E9C-101B-9397-08002B2CF9AE}" pid="9" name="MSIP_Label_0b2d0c28-e13a-4801-bbf0-29bdaa81743b_SiteId">
    <vt:lpwstr>ac41c7d4-1f61-460d-b0f4-fc925a2b471c</vt:lpwstr>
  </property>
  <property fmtid="{D5CDD505-2E9C-101B-9397-08002B2CF9AE}" pid="10" name="MSIP_Label_0b2d0c28-e13a-4801-bbf0-29bdaa81743b_ActionId">
    <vt:lpwstr>32aeb71b-afa4-409b-9bed-b34fb2638d08</vt:lpwstr>
  </property>
  <property fmtid="{D5CDD505-2E9C-101B-9397-08002B2CF9AE}" pid="11" name="MSIP_Label_0b2d0c28-e13a-4801-bbf0-29bdaa81743b_ContentBits">
    <vt:lpwstr>2</vt:lpwstr>
  </property>
  <property fmtid="{D5CDD505-2E9C-101B-9397-08002B2CF9AE}" pid="12" name="MSIP_Label_0b2d0c28-e13a-4801-bbf0-29bdaa81743b_Tag">
    <vt:lpwstr>10, 0, 1, 1</vt:lpwstr>
  </property>
  <property fmtid="{D5CDD505-2E9C-101B-9397-08002B2CF9AE}" pid="13" name="ContentTypeId">
    <vt:lpwstr>0x010100EA83A5365945FB4FB67E7D55540DD4AF</vt:lpwstr>
  </property>
</Properties>
</file>