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xmlns:asvg="http://schemas.microsoft.com/office/drawing/2016/SVG/main" mc:Ignorable="w14 w15 w16se w16cid w16 w16cex w16sdtdh w16sdtfl w16du wp14">
  <w:body>
    <w:bookmarkStart w:name="_Hlk214371653" w:displacedByCustomXml="next" w:id="0"/>
    <w:bookmarkEnd w:displacedByCustomXml="next" w:id="0"/>
    <w:sdt>
      <w:sdtPr>
        <w:rPr>
          <w:rFonts w:ascii="Times New Roman" w:hAnsi="Times New Roman"/>
        </w:rPr>
        <w:id w:val="-2036494991"/>
        <w:docPartObj>
          <w:docPartGallery w:val="Cover Pages"/>
          <w:docPartUnique/>
        </w:docPartObj>
      </w:sdtPr>
      <w:sdtEndPr>
        <w:rPr>
          <w:rFonts w:ascii="Arial" w:hAnsi="Arial" w:asciiTheme="minorAscii" w:hAnsiTheme="minorAscii"/>
        </w:rPr>
      </w:sdtEndPr>
      <w:sdtContent>
        <w:p w:rsidR="00FD55BA" w:rsidRDefault="00FD55BA" w14:paraId="180024B4" w14:textId="77777777">
          <w:pPr>
            <w:rPr>
              <w:rFonts w:ascii="Times New Roman" w:hAnsi="Times New Roman"/>
            </w:rPr>
          </w:pPr>
        </w:p>
        <w:p w:rsidR="000334D7" w:rsidP="000334D7" w:rsidRDefault="000334D7" w14:paraId="2ABE9719" w14:textId="67B326FE">
          <w:pPr>
            <w:rPr>
              <w:rFonts w:ascii="Times New Roman" w:hAnsi="Times New Roman"/>
            </w:rPr>
          </w:pPr>
          <w:r>
            <w:rPr>
              <w:noProof/>
              <w:lang w:val="en-US"/>
            </w:rPr>
            <mc:AlternateContent>
              <mc:Choice Requires="wps">
                <w:drawing>
                  <wp:anchor distT="0" distB="0" distL="114300" distR="114300" simplePos="0" relativeHeight="251664449" behindDoc="0" locked="1" layoutInCell="1" allowOverlap="1" wp14:anchorId="5EEBCEE4" wp14:editId="2F70ABAB">
                    <wp:simplePos x="0" y="0"/>
                    <wp:positionH relativeFrom="margin">
                      <wp:posOffset>6985</wp:posOffset>
                    </wp:positionH>
                    <wp:positionV relativeFrom="margin">
                      <wp:posOffset>-347980</wp:posOffset>
                    </wp:positionV>
                    <wp:extent cx="5457190" cy="6400800"/>
                    <wp:effectExtent l="0" t="0" r="0" b="0"/>
                    <wp:wrapNone/>
                    <wp:docPr id="6" name="Text Box 6"/>
                    <wp:cNvGraphicFramePr/>
                    <a:graphic xmlns:a="http://schemas.openxmlformats.org/drawingml/2006/main">
                      <a:graphicData uri="http://schemas.microsoft.com/office/word/2010/wordprocessingShape">
                        <wps:wsp>
                          <wps:cNvSpPr txBox="1"/>
                          <wps:spPr>
                            <a:xfrm>
                              <a:off x="0" y="0"/>
                              <a:ext cx="5457190" cy="6400800"/>
                            </a:xfrm>
                            <a:prstGeom prst="rect">
                              <a:avLst/>
                            </a:prstGeom>
                            <a:solidFill>
                              <a:schemeClr val="bg1"/>
                            </a:solidFill>
                            <a:ln w="6350">
                              <a:noFill/>
                            </a:ln>
                          </wps:spPr>
                          <wps:txbx>
                            <w:txbxContent>
                              <w:p w:rsidR="000334D7" w:rsidRDefault="000334D7" w14:paraId="170E49D0" w14:textId="77777777">
                                <w:pPr>
                                  <w:pStyle w:val="CoverNormal"/>
                                  <w:rPr>
                                    <w:noProof/>
                                    <w:lang w:eastAsia="ko-KR"/>
                                  </w:rPr>
                                </w:pPr>
                              </w:p>
                              <w:p w:rsidR="000334D7" w:rsidRDefault="000334D7" w14:paraId="1A32786C" w14:textId="77777777">
                                <w:pPr>
                                  <w:pStyle w:val="CoverDirectorate"/>
                                </w:pPr>
                                <w:r w:rsidRPr="007C7AED">
                                  <w:rPr>
                                    <w:noProof/>
                                    <w:lang w:val="en-US" w:eastAsia="ko-KR"/>
                                  </w:rPr>
                                  <w:drawing>
                                    <wp:inline distT="0" distB="0" distL="0" distR="0" wp14:anchorId="437195B6" wp14:editId="778941ED">
                                      <wp:extent cx="5267960" cy="579120"/>
                                      <wp:effectExtent l="0" t="0" r="8890" b="0"/>
                                      <wp:docPr id="7338710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960" cy="579120"/>
                                              </a:xfrm>
                                              <a:prstGeom prst="rect">
                                                <a:avLst/>
                                              </a:prstGeom>
                                              <a:noFill/>
                                              <a:ln>
                                                <a:noFill/>
                                              </a:ln>
                                            </pic:spPr>
                                          </pic:pic>
                                        </a:graphicData>
                                      </a:graphic>
                                    </wp:inline>
                                  </w:drawing>
                                </w:r>
                              </w:p>
                              <w:sdt>
                                <w:sdtPr>
                                  <w:alias w:val="Directorate"/>
                                  <w:tag w:val="txtDirectorate"/>
                                  <w:id w:val="2012713445"/>
                                  <w:lock w:val="contentLocked"/>
                                </w:sdtPr>
                                <w:sdtEndPr/>
                                <w:sdtContent>
                                  <w:p w:rsidR="000334D7" w:rsidRDefault="000334D7" w14:paraId="1D428221" w14:textId="77777777">
                                    <w:pPr>
                                      <w:pStyle w:val="CoverDirectorate"/>
                                    </w:pPr>
                                    <w:r>
                                      <w:t xml:space="preserve"> </w:t>
                                    </w:r>
                                  </w:p>
                                </w:sdtContent>
                              </w:sdt>
                              <w:sdt>
                                <w:sdtPr>
                                  <w:alias w:val="Committee"/>
                                  <w:tag w:val="txtCommittee"/>
                                  <w:id w:val="1460301256"/>
                                  <w:lock w:val="contentLocked"/>
                                </w:sdtPr>
                                <w:sdtEndPr/>
                                <w:sdtContent>
                                  <w:p w:rsidR="000334D7" w:rsidRDefault="000334D7" w14:paraId="1B86FCFD" w14:textId="77777777">
                                    <w:pPr>
                                      <w:pStyle w:val="CoverCommittee"/>
                                    </w:pPr>
                                    <w:r>
                                      <w:t xml:space="preserve"> </w:t>
                                    </w:r>
                                  </w:p>
                                </w:sdtContent>
                              </w:sdt>
                              <w:p w:rsidR="000334D7" w:rsidRDefault="000334D7" w14:paraId="24A436F3" w14:textId="77777777">
                                <w:pPr>
                                  <w:pStyle w:val="CoverNormal"/>
                                </w:pPr>
                              </w:p>
                              <w:p w:rsidR="000334D7" w:rsidRDefault="000334D7" w14:paraId="4ADCD53A" w14:textId="77777777">
                                <w:pPr>
                                  <w:pStyle w:val="CoverNormal"/>
                                </w:pPr>
                              </w:p>
                              <w:sdt>
                                <w:sdtPr>
                                  <w:alias w:val="Cancel / Replace"/>
                                  <w:tag w:val="txtCancelReplace"/>
                                  <w:id w:val="-338318661"/>
                                  <w:lock w:val="contentLocked"/>
                                </w:sdtPr>
                                <w:sdtEndPr/>
                                <w:sdtContent>
                                  <w:p w:rsidR="000334D7" w:rsidRDefault="000334D7" w14:paraId="14ED00D1" w14:textId="77777777">
                                    <w:pPr>
                                      <w:pStyle w:val="CoverCancel"/>
                                    </w:pPr>
                                    <w:r>
                                      <w:t xml:space="preserve"> </w:t>
                                    </w:r>
                                  </w:p>
                                </w:sdtContent>
                              </w:sdt>
                              <w:p w:rsidR="000334D7" w:rsidRDefault="000334D7" w14:paraId="6345173C" w14:textId="77777777">
                                <w:pPr>
                                  <w:pStyle w:val="CoverNormal"/>
                                </w:pPr>
                              </w:p>
                              <w:p w:rsidR="000334D7" w:rsidRDefault="000334D7" w14:paraId="6C99334F" w14:textId="77777777">
                                <w:pPr>
                                  <w:pStyle w:val="CoverNormal"/>
                                </w:pPr>
                              </w:p>
                              <w:sdt>
                                <w:sdtPr>
                                  <w:alias w:val="Working Party"/>
                                  <w:tag w:val="txtWorkingParty"/>
                                  <w:id w:val="615799634"/>
                                  <w:lock w:val="contentLocked"/>
                                </w:sdtPr>
                                <w:sdtEndPr/>
                                <w:sdtContent>
                                  <w:p w:rsidR="000334D7" w:rsidRDefault="000334D7" w14:paraId="4C5247B9" w14:textId="77777777">
                                    <w:pPr>
                                      <w:pStyle w:val="CoverWorkingParty"/>
                                    </w:pPr>
                                    <w:r>
                                      <w:t xml:space="preserve"> </w:t>
                                    </w:r>
                                  </w:p>
                                </w:sdtContent>
                              </w:sdt>
                              <w:p w:rsidR="000334D7" w:rsidRDefault="000334D7" w14:paraId="0B965EF3" w14:textId="77777777">
                                <w:pPr>
                                  <w:pStyle w:val="CoverNormal"/>
                                </w:pPr>
                              </w:p>
                              <w:p w:rsidR="000334D7" w:rsidRDefault="000334D7" w14:paraId="22C5427B" w14:textId="77777777">
                                <w:pPr>
                                  <w:pStyle w:val="CoverNormal"/>
                                </w:pPr>
                              </w:p>
                              <w:p w:rsidR="000334D7" w:rsidRDefault="000334D7" w14:paraId="049436FD" w14:textId="77777777">
                                <w:pPr>
                                  <w:pStyle w:val="CoverNormal"/>
                                </w:pPr>
                              </w:p>
                              <w:p w:rsidR="000334D7" w:rsidRDefault="00543B3D" w14:paraId="450E3445" w14:textId="5F24B9CE">
                                <w:pPr>
                                  <w:pStyle w:val="CoverTitle"/>
                                </w:pPr>
                                <w:sdt>
                                  <w:sdtPr>
                                    <w:alias w:val="Document Title"/>
                                    <w:tag w:val="txtDocTitle"/>
                                    <w:id w:val="-1237394102"/>
                                    <w:dataBinding w:prefixMappings="xmlns:ns0='http://purl.org/dc/elements/1.1/' xmlns:ns1='http://schemas.openxmlformats.org/package/2006/metadata/core-properties' " w:xpath="/ns1:coreProperties[1]/ns0:title[1]" w:storeItemID="{6C3C8BC8-F283-45AE-878A-BAB7291924A1}"/>
                                    <w:text/>
                                  </w:sdtPr>
                                  <w:sdtEndPr/>
                                  <w:sdtContent>
                                    <w:r w:rsidR="000334D7">
                                      <w:t>Measuring Citizen’s Satisfaction with key Government Services for better performance and enhanced trust</w:t>
                                    </w:r>
                                  </w:sdtContent>
                                </w:sdt>
                              </w:p>
                              <w:p w:rsidR="000334D7" w:rsidRDefault="00543B3D" w14:paraId="4CF802EC" w14:textId="174BE432">
                                <w:pPr>
                                  <w:pStyle w:val="CoverSubTitle"/>
                                </w:pPr>
                                <w:sdt>
                                  <w:sdtPr>
                                    <w:alias w:val="Document Subtitle"/>
                                    <w:tag w:val="txtDocSubtitle"/>
                                    <w:id w:val="-665630859"/>
                                    <w:dataBinding w:prefixMappings="xmlns:ns0='http://purl.org/dc/elements/1.1/' xmlns:ns1='http://schemas.openxmlformats.org/package/2006/metadata/core-properties' " w:xpath="/ns1:coreProperties[1]/ns0:subject[1]" w:storeItemID="{6C3C8BC8-F283-45AE-878A-BAB7291924A1}"/>
                                    <w:text w:multiLine="1"/>
                                  </w:sdtPr>
                                  <w:sdtEndPr/>
                                  <w:sdtContent>
                                    <w:r w:rsidR="000334D7">
                                      <w:t>Guidance Paper on establishing an enabling environment within government for making public services more user-centric</w:t>
                                    </w:r>
                                  </w:sdtContent>
                                </w:sdt>
                              </w:p>
                              <w:p w:rsidR="000334D7" w:rsidRDefault="00832509" w14:paraId="2B20F946" w14:textId="540ACED1">
                                <w:pPr>
                                  <w:pStyle w:val="CoverInformation"/>
                                </w:pPr>
                                <w:r>
                                  <w:t>March 2026</w:t>
                                </w:r>
                              </w:p>
                              <w:p w:rsidR="000334D7" w:rsidRDefault="000334D7" w14:paraId="2B07B378" w14:textId="77777777">
                                <w:pPr>
                                  <w:pStyle w:val="CoverNormal"/>
                                </w:pPr>
                              </w:p>
                              <w:p w:rsidR="000334D7" w:rsidRDefault="000334D7" w14:paraId="617CCF8B" w14:textId="77777777">
                                <w:pPr>
                                  <w:pStyle w:val="CoverNormal"/>
                                </w:pPr>
                              </w:p>
                              <w:tbl>
                                <w:tblPr>
                                  <w:tblStyle w:val="TableGrid"/>
                                  <w:tblW w:w="5090" w:type="pct"/>
                                  <w:jc w:val="center"/>
                                  <w:tblCellMar>
                                    <w:left w:w="85" w:type="dxa"/>
                                    <w:right w:w="85" w:type="dxa"/>
                                  </w:tblCellMar>
                                  <w:tblLook w:val="04A0" w:firstRow="1" w:lastRow="0" w:firstColumn="1" w:lastColumn="0" w:noHBand="0" w:noVBand="1"/>
                                </w:tblPr>
                                <w:tblGrid>
                                  <w:gridCol w:w="8461"/>
                                </w:tblGrid>
                                <w:sdt>
                                  <w:sdtPr>
                                    <w:rPr>
                                      <w:rFonts w:eastAsiaTheme="minorEastAsia"/>
                                      <w:lang w:eastAsia="ko-KR"/>
                                    </w:rPr>
                                    <w:alias w:val="Information Note"/>
                                    <w:tag w:val="txtInformationNote"/>
                                    <w:id w:val="-1842384933"/>
                                  </w:sdtPr>
                                  <w:sdtEndPr/>
                                  <w:sdtContent>
                                    <w:tr w:rsidR="000334D7" w14:paraId="6BDB8463" w14:textId="77777777">
                                      <w:trPr>
                                        <w:trHeight w:val="3368"/>
                                        <w:jc w:val="center"/>
                                      </w:trPr>
                                      <w:tc>
                                        <w:tcPr>
                                          <w:tcW w:w="5000" w:type="pct"/>
                                        </w:tcPr>
                                        <w:p w:rsidR="000334D7" w:rsidP="00832509" w:rsidRDefault="000334D7" w14:paraId="0C32F63E" w14:textId="77777777">
                                          <w:pPr>
                                            <w:pStyle w:val="CoverInformation"/>
                                            <w:jc w:val="both"/>
                                          </w:pPr>
                                          <w:r>
                                            <w:t xml:space="preserve">This Guidance Paper on establishing an enabling environment within government for making public services more user-centric is a final deliverable of the project financed by the European Commission’s Technical Support Instrument on ‘Measuring Citizen’s Satisfaction with key Government Services for Better Performance and Enhanced Trust’. Its purpose is to support public administration in countries by identifying organisational enablers for delivering human-centred public administrative services. </w:t>
                                          </w:r>
                                        </w:p>
                                        <w:p w:rsidR="000334D7" w:rsidP="00832509" w:rsidRDefault="000334D7" w14:paraId="1A1D6DD6" w14:textId="77777777">
                                          <w:pPr>
                                            <w:pStyle w:val="CoverInformation"/>
                                            <w:jc w:val="both"/>
                                          </w:pPr>
                                        </w:p>
                                        <w:p w:rsidR="000334D7" w:rsidP="00832509" w:rsidRDefault="000334D7" w14:paraId="760B5EE4" w14:textId="77777777">
                                          <w:pPr>
                                            <w:pStyle w:val="CoverInformation"/>
                                            <w:jc w:val="both"/>
                                          </w:pPr>
                                          <w:r>
                                            <w:t xml:space="preserve">The Guidance Paper is intended to equip public officials with good practice examples and tools to address the key drivers of citizen satisfaction, as identified through the TSI Satisfaction Survey, deployed in October – November 2024. </w:t>
                                          </w:r>
                                        </w:p>
                                        <w:p w:rsidR="000334D7" w:rsidP="00832509" w:rsidRDefault="000334D7" w14:paraId="2D443ADA" w14:textId="77777777">
                                          <w:pPr>
                                            <w:pStyle w:val="CoverInformation"/>
                                            <w:jc w:val="both"/>
                                          </w:pPr>
                                        </w:p>
                                        <w:p w:rsidR="000334D7" w:rsidP="00832509" w:rsidRDefault="000334D7" w14:paraId="2D9297EF" w14:textId="2B0E04EF">
                                          <w:pPr>
                                            <w:pStyle w:val="CoverInformation"/>
                                            <w:jc w:val="both"/>
                                          </w:pPr>
                                        </w:p>
                                      </w:tc>
                                    </w:tr>
                                  </w:sdtContent>
                                </w:sdt>
                              </w:tbl>
                              <w:p w:rsidR="000334D7" w:rsidRDefault="000334D7" w14:paraId="5F72BEA0" w14:textId="77777777">
                                <w:pPr>
                                  <w:pStyle w:val="CoverNormal"/>
                                </w:pPr>
                              </w:p>
                              <w:p w:rsidR="000334D7" w:rsidRDefault="000334D7" w14:paraId="5007F949" w14:textId="77777777">
                                <w:pPr>
                                  <w:pStyle w:val="CoverNormal"/>
                                </w:pPr>
                              </w:p>
                              <w:p w:rsidR="000334D7" w:rsidRDefault="000334D7" w14:paraId="5CF33458" w14:textId="77777777">
                                <w:pPr>
                                  <w:pStyle w:val="CoverNormal"/>
                                </w:pPr>
                              </w:p>
                              <w:sdt>
                                <w:sdtPr>
                                  <w:alias w:val="PWB Code"/>
                                  <w:tag w:val="txtPWBCode"/>
                                  <w:id w:val="-278178166"/>
                                  <w:lock w:val="contentLocked"/>
                                  <w:text w:multiLine="1"/>
                                </w:sdtPr>
                                <w:sdtEndPr/>
                                <w:sdtContent>
                                  <w:p w:rsidR="000334D7" w:rsidRDefault="000334D7" w14:paraId="792BF11A" w14:textId="77777777">
                                    <w:pPr>
                                      <w:pStyle w:val="CoverPwbCode"/>
                                    </w:pPr>
                                    <w:r>
                                      <w:t xml:space="preserve"> </w:t>
                                    </w:r>
                                  </w:p>
                                </w:sdtContent>
                              </w:sdt>
                              <w:sdt>
                                <w:sdtPr>
                                  <w:alias w:val="JT Number"/>
                                  <w:tag w:val="txtJobNumber"/>
                                  <w:id w:val="1285929225"/>
                                  <w:lock w:val="contentLocked"/>
                                  <w:text/>
                                </w:sdtPr>
                                <w:sdtEndPr/>
                                <w:sdtContent>
                                  <w:p w:rsidR="000334D7" w:rsidRDefault="000334D7" w14:paraId="25CD6A2F" w14:textId="77777777">
                                    <w:pPr>
                                      <w:pStyle w:val="CoverJobTicket"/>
                                    </w:pPr>
                                    <w:r w:rsidRPr="00310112">
                                      <w:t xml:space="preserve"> </w:t>
                                    </w:r>
                                  </w:p>
                                </w:sdtContent>
                              </w:sdt>
                              <w:sdt>
                                <w:sdtPr>
                                  <w:rPr>
                                    <w:color w:val="FFFFFF" w:themeColor="background1"/>
                                  </w:rPr>
                                  <w:alias w:val="cvpname"/>
                                  <w:tag w:val="txtcvpname"/>
                                  <w:id w:val="-311641019"/>
                                </w:sdtPr>
                                <w:sdtEndPr/>
                                <w:sdtContent>
                                  <w:p w:rsidR="000334D7" w:rsidRDefault="000334D7" w14:paraId="546F4ABD" w14:textId="77777777">
                                    <w:pPr>
                                      <w:pStyle w:val="CoverNormal"/>
                                      <w:rPr>
                                        <w:color w:val="FFFFFF" w:themeColor="background1"/>
                                      </w:rPr>
                                    </w:pPr>
                                    <w:r w:rsidRPr="00D06B7E">
                                      <w:rPr>
                                        <w:color w:val="FFFFFF" w:themeColor="background1"/>
                                      </w:rPr>
                                      <w:t>OFDE</w:t>
                                    </w:r>
                                  </w:p>
                                </w:sdtContent>
                              </w:sdt>
                              <w:p w:rsidRPr="00310112" w:rsidR="000334D7" w:rsidRDefault="000334D7" w14:paraId="4C93214E" w14:textId="77777777">
                                <w:pPr>
                                  <w:pStyle w:val="CoverNormal"/>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EA8840F">
                  <v:shapetype id="_x0000_t202" coordsize="21600,21600" o:spt="202" path="m,l,21600r21600,l21600,xe" w14:anchorId="5EEBCEE4">
                    <v:stroke joinstyle="miter"/>
                    <v:path gradientshapeok="t" o:connecttype="rect"/>
                  </v:shapetype>
                  <v:shape id="Text Box 6" style="position:absolute;left:0;text-align:left;margin-left:.55pt;margin-top:-27.4pt;width:429.7pt;height:7in;z-index:25166444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spid="_x0000_s1026" fillcolor="white [321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">
                    <v:textbox>
                      <w:txbxContent>
                        <w:p w:rsidR="000334D7" w:rsidRDefault="000334D7" w14:paraId="672A6659" w14:textId="77777777">
                          <w:pPr>
                            <w:pStyle w:val="CoverNormal"/>
                            <w:rPr>
                              <w:noProof/>
                              <w:lang w:eastAsia="ko-KR"/>
                            </w:rPr>
                          </w:pPr>
                        </w:p>
                        <w:p w:rsidR="000334D7" w:rsidRDefault="000334D7" w14:paraId="0A37501D" w14:textId="77777777">
                          <w:pPr>
                            <w:pStyle w:val="CoverDirectorate"/>
                          </w:pPr>
                          <w:r w:rsidRPr="007C7AED">
                            <w:rPr>
                              <w:noProof/>
                              <w:lang w:val="en-US" w:eastAsia="ko-KR"/>
                            </w:rPr>
                            <w:drawing>
                              <wp:inline distT="0" distB="0" distL="0" distR="0" wp14:anchorId="2AA2CD39" wp14:editId="778941ED">
                                <wp:extent cx="5267960" cy="579120"/>
                                <wp:effectExtent l="0" t="0" r="8890" b="0"/>
                                <wp:docPr id="16792825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960" cy="579120"/>
                                        </a:xfrm>
                                        <a:prstGeom prst="rect">
                                          <a:avLst/>
                                        </a:prstGeom>
                                        <a:noFill/>
                                        <a:ln>
                                          <a:noFill/>
                                        </a:ln>
                                      </pic:spPr>
                                    </pic:pic>
                                  </a:graphicData>
                                </a:graphic>
                              </wp:inline>
                            </w:drawing>
                          </w:r>
                        </w:p>
                        <w:sdt>
                          <w:sdtPr>
                            <w:id w:val="139506717"/>
                            <w:alias w:val="Directorate"/>
                            <w:tag w:val="txtDirectorate"/>
                            <w:id w:val="2012713445"/>
                            <w:lock w:val="contentLocked"/>
                          </w:sdtPr>
                          <w:sdtEndPr/>
                          <w:sdtContent>
                            <w:p w:rsidR="000334D7" w:rsidRDefault="000334D7" w14:paraId="29D6B04F" w14:textId="77777777">
                              <w:pPr>
                                <w:pStyle w:val="CoverDirectorate"/>
                              </w:pPr>
                              <w:r>
                                <w:t xml:space="preserve"> </w:t>
                              </w:r>
                            </w:p>
                          </w:sdtContent>
                        </w:sdt>
                        <w:sdt>
                          <w:sdtPr>
                            <w:id w:val="630562232"/>
                            <w:alias w:val="Committee"/>
                            <w:tag w:val="txtCommittee"/>
                            <w:id w:val="1460301256"/>
                            <w:lock w:val="contentLocked"/>
                          </w:sdtPr>
                          <w:sdtEndPr/>
                          <w:sdtContent>
                            <w:p w:rsidR="000334D7" w:rsidRDefault="000334D7" w14:paraId="0A6959E7" w14:textId="77777777">
                              <w:pPr>
                                <w:pStyle w:val="CoverCommittee"/>
                              </w:pPr>
                              <w:r>
                                <w:t xml:space="preserve"> </w:t>
                              </w:r>
                            </w:p>
                          </w:sdtContent>
                        </w:sdt>
                        <w:p w:rsidR="000334D7" w:rsidRDefault="000334D7" w14:paraId="5DAB6C7B" w14:textId="77777777">
                          <w:pPr>
                            <w:pStyle w:val="CoverNormal"/>
                          </w:pPr>
                        </w:p>
                        <w:p w:rsidR="000334D7" w:rsidRDefault="000334D7" w14:paraId="02EB378F" w14:textId="77777777">
                          <w:pPr>
                            <w:pStyle w:val="CoverNormal"/>
                          </w:pPr>
                        </w:p>
                        <w:sdt>
                          <w:sdtPr>
                            <w:id w:val="2137532919"/>
                            <w:alias w:val="Cancel / Replace"/>
                            <w:tag w:val="txtCancelReplace"/>
                            <w:id w:val="-338318661"/>
                            <w:lock w:val="contentLocked"/>
                          </w:sdtPr>
                          <w:sdtEndPr/>
                          <w:sdtContent>
                            <w:p w:rsidR="000334D7" w:rsidRDefault="000334D7" w14:paraId="100C5B58" w14:textId="77777777">
                              <w:pPr>
                                <w:pStyle w:val="CoverCancel"/>
                              </w:pPr>
                              <w:r>
                                <w:t xml:space="preserve"> </w:t>
                              </w:r>
                            </w:p>
                          </w:sdtContent>
                        </w:sdt>
                        <w:p w:rsidR="000334D7" w:rsidRDefault="000334D7" w14:paraId="6A05A809" w14:textId="77777777">
                          <w:pPr>
                            <w:pStyle w:val="CoverNormal"/>
                          </w:pPr>
                        </w:p>
                        <w:p w:rsidR="000334D7" w:rsidRDefault="000334D7" w14:paraId="5A39BBE3" w14:textId="77777777">
                          <w:pPr>
                            <w:pStyle w:val="CoverNormal"/>
                          </w:pPr>
                        </w:p>
                        <w:sdt>
                          <w:sdtPr>
                            <w:id w:val="771078693"/>
                            <w:alias w:val="Working Party"/>
                            <w:tag w:val="txtWorkingParty"/>
                            <w:id w:val="615799634"/>
                            <w:lock w:val="contentLocked"/>
                          </w:sdtPr>
                          <w:sdtEndPr/>
                          <w:sdtContent>
                            <w:p w:rsidR="000334D7" w:rsidRDefault="000334D7" w14:paraId="12F40E89" w14:textId="77777777">
                              <w:pPr>
                                <w:pStyle w:val="CoverWorkingParty"/>
                              </w:pPr>
                              <w:r>
                                <w:t xml:space="preserve"> </w:t>
                              </w:r>
                            </w:p>
                          </w:sdtContent>
                        </w:sdt>
                        <w:p w:rsidR="000334D7" w:rsidRDefault="000334D7" w14:paraId="41C8F396" w14:textId="77777777">
                          <w:pPr>
                            <w:pStyle w:val="CoverNormal"/>
                          </w:pPr>
                        </w:p>
                        <w:p w:rsidR="000334D7" w:rsidRDefault="000334D7" w14:paraId="72A3D3EC" w14:textId="77777777">
                          <w:pPr>
                            <w:pStyle w:val="CoverNormal"/>
                          </w:pPr>
                        </w:p>
                        <w:p w:rsidR="000334D7" w:rsidRDefault="000334D7" w14:paraId="0D0B940D" w14:textId="77777777">
                          <w:pPr>
                            <w:pStyle w:val="CoverNormal"/>
                          </w:pPr>
                        </w:p>
                        <w:p w:rsidR="000334D7" w:rsidRDefault="00543B3D" w14:paraId="24FAD3E8" w14:textId="5F24B9CE">
                          <w:pPr>
                            <w:pStyle w:val="CoverTitle"/>
                          </w:pPr>
                          <w:sdt>
                            <w:sdtPr>
                              <w:id w:val="524953775"/>
                              <w:alias w:val="Document Title"/>
                              <w:tag w:val="txtDocTitle"/>
                              <w:id w:val="-1237394102"/>
                              <w:dataBinding w:prefixMappings="xmlns:ns0='http://purl.org/dc/elements/1.1/' xmlns:ns1='http://schemas.openxmlformats.org/package/2006/metadata/core-properties' " w:xpath="/ns1:coreProperties[1]/ns0:title[1]" w:storeItemID="{6C3C8BC8-F283-45AE-878A-BAB7291924A1}"/>
                              <w:text/>
                            </w:sdtPr>
                            <w:sdtEndPr/>
                            <w:sdtContent>
                              <w:r w:rsidR="000334D7">
                                <w:t>Measuring Citizen’s Satisfaction with key Government Services for better performance and enhanced trust</w:t>
                              </w:r>
                            </w:sdtContent>
                          </w:sdt>
                        </w:p>
                        <w:p w:rsidR="000334D7" w:rsidRDefault="00543B3D" w14:paraId="61DF209A" w14:textId="174BE432">
                          <w:pPr>
                            <w:pStyle w:val="CoverSubTitle"/>
                          </w:pPr>
                          <w:sdt>
                            <w:sdtPr>
                              <w:id w:val="1838061362"/>
                              <w:alias w:val="Document Subtitle"/>
                              <w:tag w:val="txtDocSubtitle"/>
                              <w:id w:val="-665630859"/>
                              <w:dataBinding w:prefixMappings="xmlns:ns0='http://purl.org/dc/elements/1.1/' xmlns:ns1='http://schemas.openxmlformats.org/package/2006/metadata/core-properties' " w:xpath="/ns1:coreProperties[1]/ns0:subject[1]" w:storeItemID="{6C3C8BC8-F283-45AE-878A-BAB7291924A1}"/>
                              <w:text w:multiLine="1"/>
                            </w:sdtPr>
                            <w:sdtEndPr/>
                            <w:sdtContent>
                              <w:r w:rsidR="000334D7">
                                <w:t>Guidance Paper on establishing an enabling environment within government for making public services more user-centric</w:t>
                              </w:r>
                            </w:sdtContent>
                          </w:sdt>
                        </w:p>
                        <w:p w:rsidR="000334D7" w:rsidRDefault="00832509" w14:paraId="492517E3" w14:textId="540ACED1">
                          <w:pPr>
                            <w:pStyle w:val="CoverInformation"/>
                          </w:pPr>
                          <w:r>
                            <w:t>March 2026</w:t>
                          </w:r>
                        </w:p>
                        <w:p w:rsidR="000334D7" w:rsidRDefault="000334D7" w14:paraId="0E27B00A" w14:textId="77777777">
                          <w:pPr>
                            <w:pStyle w:val="CoverNormal"/>
                          </w:pPr>
                        </w:p>
                        <w:p w:rsidR="000334D7" w:rsidRDefault="000334D7" w14:paraId="60061E4C" w14:textId="77777777">
                          <w:pPr>
                            <w:pStyle w:val="CoverNormal"/>
                          </w:pPr>
                        </w:p>
                        <w:tbl>
                          <w:tblPr>
                            <w:tblStyle w:val="TableGrid"/>
                            <w:tblW w:w="5090" w:type="pct"/>
                            <w:jc w:val="center"/>
                            <w:tblCellMar>
                              <w:left w:w="85" w:type="dxa"/>
                              <w:right w:w="85" w:type="dxa"/>
                            </w:tblCellMar>
                            <w:tblLook w:val="04A0" w:firstRow="1" w:lastRow="0" w:firstColumn="1" w:lastColumn="0" w:noHBand="0" w:noVBand="1"/>
                          </w:tblPr>
                          <w:tblGrid>
                            <w:gridCol w:w="8461"/>
                          </w:tblGrid>
                          <w:sdt>
                            <w:sdtPr>
                              <w:id w:val="538575562"/>
                              <w:rPr>
                                <w:rFonts w:eastAsiaTheme="minorEastAsia"/>
                                <w:lang w:eastAsia="ko-KR"/>
                              </w:rPr>
                              <w:alias w:val="Information Note"/>
                              <w:tag w:val="txtInformationNote"/>
                              <w:id w:val="-1842384933"/>
                            </w:sdtPr>
                            <w:sdtEndPr/>
                            <w:sdtContent>
                              <w:tr w:rsidR="000334D7" w14:paraId="4668AB56" w14:textId="77777777">
                                <w:trPr>
                                  <w:trHeight w:val="3368"/>
                                  <w:jc w:val="center"/>
                                </w:trPr>
                                <w:tc>
                                  <w:tcPr>
                                    <w:tcW w:w="5000" w:type="pct"/>
                                  </w:tcPr>
                                  <w:p w:rsidR="000334D7" w:rsidP="00832509" w:rsidRDefault="000334D7" w14:paraId="0B893C05" w14:textId="77777777">
                                    <w:pPr>
                                      <w:pStyle w:val="CoverInformation"/>
                                      <w:jc w:val="both"/>
                                    </w:pPr>
                                    <w:r>
                                      <w:t xml:space="preserve">This Guidance Paper on establishing an enabling environment within government for making public services more user-centric is a final deliverable of the project financed by the European Commission’s Technical Support Instrument on ‘Measuring Citizen’s Satisfaction with key Government Services for Better Performance and Enhanced Trust’. Its purpose is to support public administration in countries by identifying organisational enablers for delivering human-centred public administrative services. </w:t>
                                    </w:r>
                                  </w:p>
                                  <w:p w:rsidR="000334D7" w:rsidP="00832509" w:rsidRDefault="000334D7" w14:paraId="44EAFD9C" w14:textId="77777777">
                                    <w:pPr>
                                      <w:pStyle w:val="CoverInformation"/>
                                      <w:jc w:val="both"/>
                                    </w:pPr>
                                  </w:p>
                                  <w:p w:rsidR="000334D7" w:rsidP="00832509" w:rsidRDefault="000334D7" w14:paraId="4F61BC84" w14:textId="77777777">
                                    <w:pPr>
                                      <w:pStyle w:val="CoverInformation"/>
                                      <w:jc w:val="both"/>
                                    </w:pPr>
                                    <w:r>
                                      <w:t xml:space="preserve">The Guidance Paper is intended to equip public officials with good practice examples and tools to address the key drivers of citizen satisfaction, as identified through the TSI Satisfaction Survey, deployed in October – November 2024. </w:t>
                                    </w:r>
                                  </w:p>
                                  <w:p w:rsidR="000334D7" w:rsidP="00832509" w:rsidRDefault="000334D7" w14:paraId="4B94D5A5" w14:textId="77777777">
                                    <w:pPr>
                                      <w:pStyle w:val="CoverInformation"/>
                                      <w:jc w:val="both"/>
                                    </w:pPr>
                                  </w:p>
                                  <w:p w:rsidR="000334D7" w:rsidP="00832509" w:rsidRDefault="000334D7" w14:paraId="3DEEC669" w14:textId="2B0E04EF">
                                    <w:pPr>
                                      <w:pStyle w:val="CoverInformation"/>
                                      <w:jc w:val="both"/>
                                    </w:pPr>
                                  </w:p>
                                </w:tc>
                              </w:tr>
                            </w:sdtContent>
                          </w:sdt>
                        </w:tbl>
                        <w:p w:rsidR="000334D7" w:rsidRDefault="000334D7" w14:paraId="3656B9AB" w14:textId="77777777">
                          <w:pPr>
                            <w:pStyle w:val="CoverNormal"/>
                          </w:pPr>
                        </w:p>
                        <w:p w:rsidR="000334D7" w:rsidRDefault="000334D7" w14:paraId="45FB0818" w14:textId="77777777">
                          <w:pPr>
                            <w:pStyle w:val="CoverNormal"/>
                          </w:pPr>
                        </w:p>
                        <w:p w:rsidR="000334D7" w:rsidRDefault="000334D7" w14:paraId="049F31CB" w14:textId="77777777">
                          <w:pPr>
                            <w:pStyle w:val="CoverNormal"/>
                          </w:pPr>
                        </w:p>
                        <w:sdt>
                          <w:sdtPr>
                            <w:id w:val="407347356"/>
                            <w:alias w:val="PWB Code"/>
                            <w:tag w:val="txtPWBCode"/>
                            <w:id w:val="-278178166"/>
                            <w:lock w:val="contentLocked"/>
                            <w:text w:multiLine="1"/>
                          </w:sdtPr>
                          <w:sdtEndPr/>
                          <w:sdtContent>
                            <w:p w:rsidR="000334D7" w:rsidRDefault="000334D7" w14:paraId="608DEACE" w14:textId="77777777">
                              <w:pPr>
                                <w:pStyle w:val="CoverPwbCode"/>
                              </w:pPr>
                              <w:r>
                                <w:t xml:space="preserve"> </w:t>
                              </w:r>
                            </w:p>
                          </w:sdtContent>
                        </w:sdt>
                        <w:sdt>
                          <w:sdtPr>
                            <w:id w:val="134920629"/>
                            <w:alias w:val="JT Number"/>
                            <w:tag w:val="txtJobNumber"/>
                            <w:id w:val="1285929225"/>
                            <w:lock w:val="contentLocked"/>
                            <w:text/>
                          </w:sdtPr>
                          <w:sdtEndPr/>
                          <w:sdtContent>
                            <w:p w:rsidR="000334D7" w:rsidRDefault="000334D7" w14:paraId="2BAC6FC9" w14:textId="77777777">
                              <w:pPr>
                                <w:pStyle w:val="CoverJobTicket"/>
                              </w:pPr>
                              <w:r w:rsidRPr="00310112">
                                <w:t xml:space="preserve"> </w:t>
                              </w:r>
                            </w:p>
                          </w:sdtContent>
                        </w:sdt>
                        <w:sdt>
                          <w:sdtPr>
                            <w:id w:val="448252812"/>
                            <w:rPr>
                              <w:color w:val="FFFFFF" w:themeColor="background1"/>
                            </w:rPr>
                            <w:alias w:val="cvpname"/>
                            <w:tag w:val="txtcvpname"/>
                            <w:id w:val="-311641019"/>
                          </w:sdtPr>
                          <w:sdtEndPr/>
                          <w:sdtContent>
                            <w:p w:rsidR="000334D7" w:rsidRDefault="000334D7" w14:paraId="0018ACF4" w14:textId="77777777">
                              <w:pPr>
                                <w:pStyle w:val="CoverNormal"/>
                                <w:rPr>
                                  <w:color w:val="FFFFFF" w:themeColor="background1"/>
                                </w:rPr>
                              </w:pPr>
                              <w:r w:rsidRPr="00D06B7E">
                                <w:rPr>
                                  <w:color w:val="FFFFFF" w:themeColor="background1"/>
                                </w:rPr>
                                <w:t>OFDE</w:t>
                              </w:r>
                            </w:p>
                          </w:sdtContent>
                        </w:sdt>
                        <w:p w:rsidRPr="00310112" w:rsidR="000334D7" w:rsidRDefault="000334D7" w14:paraId="53128261" w14:textId="77777777">
                          <w:pPr>
                            <w:pStyle w:val="CoverNormal"/>
                          </w:pPr>
                        </w:p>
                      </w:txbxContent>
                    </v:textbox>
                    <w10:wrap anchorx="margin" anchory="margin"/>
                    <w10:anchorlock/>
                  </v:shape>
                </w:pict>
              </mc:Fallback>
            </mc:AlternateContent>
          </w:r>
        </w:p>
        <w:p w:rsidR="000334D7" w:rsidP="000334D7" w:rsidRDefault="000334D7" w14:paraId="2735166A" w14:textId="77777777">
          <w:pPr>
            <w:rPr>
              <w:rFonts w:ascii="Times New Roman" w:hAnsi="Times New Roman"/>
            </w:rPr>
          </w:pPr>
        </w:p>
        <w:p w:rsidR="00FD55BA" w:rsidP="005D05FE" w:rsidRDefault="00B1573B" w14:paraId="22FA7E29" w14:textId="2C70017B">
          <w:r>
            <w:rPr>
              <w:noProof/>
              <w:lang w:val="en-US"/>
            </w:rPr>
            <mc:AlternateContent>
              <mc:Choice Requires="wps">
                <w:drawing>
                  <wp:anchor distT="0" distB="0" distL="114300" distR="114300" simplePos="0" relativeHeight="251666497" behindDoc="0" locked="1" layoutInCell="1" allowOverlap="1" wp14:anchorId="21AEB55F" wp14:editId="39383D30">
                    <wp:simplePos x="0" y="0"/>
                    <wp:positionH relativeFrom="margin">
                      <wp:posOffset>12700</wp:posOffset>
                    </wp:positionH>
                    <wp:positionV relativeFrom="page">
                      <wp:posOffset>9276080</wp:posOffset>
                    </wp:positionV>
                    <wp:extent cx="5615940" cy="427990"/>
                    <wp:effectExtent l="0" t="0" r="3810" b="0"/>
                    <wp:wrapNone/>
                    <wp:docPr id="7" name="Text Box 7"/>
                    <wp:cNvGraphicFramePr/>
                    <a:graphic xmlns:a="http://schemas.openxmlformats.org/drawingml/2006/main">
                      <a:graphicData uri="http://schemas.microsoft.com/office/word/2010/wordprocessingShape">
                        <wps:wsp>
                          <wps:cNvSpPr txBox="1"/>
                          <wps:spPr>
                            <a:xfrm>
                              <a:off x="0" y="0"/>
                              <a:ext cx="5615940" cy="427990"/>
                            </a:xfrm>
                            <a:prstGeom prst="rect">
                              <a:avLst/>
                            </a:prstGeom>
                            <a:solidFill>
                              <a:schemeClr val="bg1"/>
                            </a:solidFill>
                            <a:ln w="6350">
                              <a:noFill/>
                            </a:ln>
                          </wps:spPr>
                          <wps:txbx>
                            <w:txbxContent>
                              <w:sdt>
                                <w:sdtPr>
                                  <w:alias w:val="Cover Disclaimer"/>
                                  <w:tag w:val="txtCoverDisclaimer"/>
                                  <w:id w:val="284548140"/>
                                  <w:lock w:val="contentLocked"/>
                                  <w:text/>
                                </w:sdtPr>
                                <w:sdtEndPr/>
                                <w:sdtContent>
                                  <w:p w:rsidR="00B1573B" w:rsidRDefault="00B1573B" w14:paraId="6D215867" w14:textId="77777777">
                                    <w:pPr>
                                      <w:pStyle w:val="CoverDisclaimer"/>
                                    </w:pPr>
                                    <w:r w:rsidRPr="00065085">
                                      <w:t>This document, as well as any data and map included herein, are without prejudice to the status of or sovereignty over any territory, to the delimitation of international frontiers and boundaries and to the name of any territory, city or area.</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2CD5289">
                  <v:shape id="Text Box 7" style="position:absolute;left:0;text-align:left;margin-left:1pt;margin-top:730.4pt;width:442.2pt;height:33.7pt;z-index:25166649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spid="_x0000_s1027" fillcolor="white [321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" w14:anchorId="21AEB55F">
                    <v:textbox>
                      <w:txbxContent>
                        <w:sdt>
                          <w:sdtPr>
                            <w:id w:val="1830951218"/>
                            <w:alias w:val="Cover Disclaimer"/>
                            <w:tag w:val="txtCoverDisclaimer"/>
                            <w:id w:val="284548140"/>
                            <w:lock w:val="contentLocked"/>
                            <w:text/>
                          </w:sdtPr>
                          <w:sdtEndPr/>
                          <w:sdtContent>
                            <w:p w:rsidR="00B1573B" w:rsidRDefault="00B1573B" w14:paraId="39BBFAF5" w14:textId="77777777">
                              <w:pPr>
                                <w:pStyle w:val="CoverDisclaimer"/>
                              </w:pPr>
                              <w:r w:rsidRPr="00065085">
                                <w:t>This document, as well as any data and map included herein, are without prejudice to the status of or sovereignty over any territory, to the delimitation of international frontiers and boundaries and to the name of any territory, city or area.</w:t>
                              </w:r>
                            </w:p>
                          </w:sdtContent>
                        </w:sdt>
                      </w:txbxContent>
                    </v:textbox>
                    <w10:wrap anchorx="margin" anchory="page"/>
                    <w10:anchorlock/>
                  </v:shape>
                </w:pict>
              </mc:Fallback>
            </mc:AlternateContent>
          </w:r>
        </w:p>
      </w:sdtContent>
    </w:sdt>
    <w:sdt>
      <w:sdtPr>
        <w:id w:val="-85394019"/>
        <w:docPartObj>
          <w:docPartGallery w:val="Table of Contents"/>
          <w:docPartUnique/>
        </w:docPartObj>
        <w:rPr>
          <w:rFonts w:ascii="Arial" w:hAnsi="Arial" w:eastAsia="Arial" w:cs="" w:asciiTheme="minorAscii" w:hAnsiTheme="minorAscii" w:eastAsiaTheme="minorAscii" w:cstheme="minorBidi"/>
          <w:b w:val="0"/>
          <w:bCs w:val="0"/>
          <w:noProof/>
          <w:color w:val="000000" w:themeColor="text1"/>
          <w:sz w:val="20"/>
          <w:szCs w:val="20"/>
          <w:lang w:val="en-US"/>
        </w:rPr>
      </w:sdtPr>
      <w:sdtEndPr>
        <w:rPr>
          <w:rFonts w:ascii="Arial" w:hAnsi="Arial" w:eastAsia="Arial" w:cs="" w:asciiTheme="minorAscii" w:hAnsiTheme="minorAscii" w:eastAsiaTheme="minorAscii" w:cstheme="minorBidi"/>
          <w:b w:val="0"/>
          <w:bCs w:val="0"/>
          <w:noProof/>
          <w:color w:val="000000" w:themeColor="text1" w:themeTint="FF" w:themeShade="FF"/>
          <w:sz w:val="20"/>
          <w:szCs w:val="20"/>
          <w:lang w:val="en-US"/>
        </w:rPr>
      </w:sdtEndPr>
      <w:sdtContent>
        <w:p w:rsidRPr="003B7B31" w:rsidR="00D2597F" w:rsidRDefault="00D2597F" w14:paraId="3FC3EF3C" w14:textId="77777777">
          <w:pPr>
            <w:pStyle w:val="TOCHeading"/>
            <w:rPr>
              <w:noProof/>
              <w:lang w:val="en-US"/>
            </w:rPr>
          </w:pPr>
          <w:r w:rsidRPr="003B7B31">
            <w:rPr>
              <w:noProof/>
              <w:lang w:val="en-US"/>
            </w:rPr>
            <w:t>Table of contents</w:t>
          </w:r>
        </w:p>
        <w:p w:rsidR="0029466E" w:rsidRDefault="00D2597F" w14:paraId="225BB893" w14:textId="1C9B7B32">
          <w:pPr>
            <w:pStyle w:val="TOC1"/>
            <w:rPr>
              <w:rFonts w:asciiTheme="minorHAnsi" w:hAnsiTheme="minorHAnsi" w:eastAsiaTheme="minorEastAsia"/>
              <w:noProof/>
              <w:color w:val="auto"/>
              <w:kern w:val="2"/>
              <w:sz w:val="24"/>
              <w:szCs w:val="24"/>
              <w:lang w:eastAsia="en-GB"/>
              <w14:ligatures w14:val="standardContextual"/>
            </w:rPr>
          </w:pPr>
          <w:r w:rsidRPr="003B7B31">
            <w:rPr>
              <w:b/>
              <w:lang w:val="en-US"/>
            </w:rPr>
            <w:fldChar w:fldCharType="begin"/>
          </w:r>
          <w:r w:rsidRPr="003B7B31">
            <w:rPr>
              <w:b/>
              <w:lang w:val="en-US"/>
            </w:rPr>
            <w:instrText xml:space="preserve"> TOC \o "1-1" \h \z \t "Heading 2,2,Heading 6,9,Heading 7,1,Heading 9,2,InBrief Opener,2,Heading 2 (Indicator),2" </w:instrText>
          </w:r>
          <w:r w:rsidRPr="003B7B31">
            <w:rPr>
              <w:b/>
              <w:lang w:val="en-US"/>
            </w:rPr>
            <w:fldChar w:fldCharType="separate"/>
          </w:r>
          <w:hyperlink w:history="1" w:anchor="_Toc223413726">
            <w:r w:rsidRPr="000E0FE6" w:rsidR="0029466E">
              <w:rPr>
                <w:rStyle w:val="Hyperlink"/>
                <w:noProof/>
                <w:lang w:val="fr-FR"/>
              </w:rPr>
              <w:t>1. Introduction</w:t>
            </w:r>
            <w:r w:rsidR="0029466E">
              <w:rPr>
                <w:noProof/>
                <w:webHidden/>
              </w:rPr>
              <w:tab/>
            </w:r>
            <w:r w:rsidR="0029466E">
              <w:rPr>
                <w:noProof/>
                <w:webHidden/>
              </w:rPr>
              <w:fldChar w:fldCharType="begin"/>
            </w:r>
            <w:r w:rsidR="0029466E">
              <w:rPr>
                <w:noProof/>
                <w:webHidden/>
              </w:rPr>
              <w:instrText xml:space="preserve"> PAGEREF _Toc223413726 \h </w:instrText>
            </w:r>
            <w:r w:rsidR="0029466E">
              <w:rPr>
                <w:noProof/>
                <w:webHidden/>
              </w:rPr>
            </w:r>
            <w:r w:rsidR="0029466E">
              <w:rPr>
                <w:noProof/>
                <w:webHidden/>
              </w:rPr>
              <w:fldChar w:fldCharType="separate"/>
            </w:r>
            <w:r w:rsidR="00543B3D">
              <w:rPr>
                <w:noProof/>
                <w:webHidden/>
              </w:rPr>
              <w:t>5</w:t>
            </w:r>
            <w:r w:rsidR="0029466E">
              <w:rPr>
                <w:noProof/>
                <w:webHidden/>
              </w:rPr>
              <w:fldChar w:fldCharType="end"/>
            </w:r>
          </w:hyperlink>
        </w:p>
        <w:p w:rsidR="0029466E" w:rsidRDefault="0029466E" w14:paraId="33C4A8D5" w14:textId="75657335">
          <w:pPr>
            <w:pStyle w:val="TOC1"/>
            <w:rPr>
              <w:rFonts w:asciiTheme="minorHAnsi" w:hAnsiTheme="minorHAnsi" w:eastAsiaTheme="minorEastAsia"/>
              <w:noProof/>
              <w:color w:val="auto"/>
              <w:kern w:val="2"/>
              <w:sz w:val="24"/>
              <w:szCs w:val="24"/>
              <w:lang w:eastAsia="en-GB"/>
              <w14:ligatures w14:val="standardContextual"/>
            </w:rPr>
          </w:pPr>
          <w:hyperlink w:history="1" w:anchor="_Toc223413727">
            <w:r w:rsidRPr="000E0FE6">
              <w:rPr>
                <w:rStyle w:val="Hyperlink"/>
                <w:noProof/>
                <w:lang w:val="en-US"/>
              </w:rPr>
              <w:t>2. Accessing public services</w:t>
            </w:r>
            <w:r>
              <w:rPr>
                <w:noProof/>
                <w:webHidden/>
              </w:rPr>
              <w:tab/>
            </w:r>
            <w:r>
              <w:rPr>
                <w:noProof/>
                <w:webHidden/>
              </w:rPr>
              <w:fldChar w:fldCharType="begin"/>
            </w:r>
            <w:r>
              <w:rPr>
                <w:noProof/>
                <w:webHidden/>
              </w:rPr>
              <w:instrText xml:space="preserve"> PAGEREF _Toc223413727 \h </w:instrText>
            </w:r>
            <w:r>
              <w:rPr>
                <w:noProof/>
                <w:webHidden/>
              </w:rPr>
            </w:r>
            <w:r>
              <w:rPr>
                <w:noProof/>
                <w:webHidden/>
              </w:rPr>
              <w:fldChar w:fldCharType="separate"/>
            </w:r>
            <w:r w:rsidR="00543B3D">
              <w:rPr>
                <w:noProof/>
                <w:webHidden/>
              </w:rPr>
              <w:t>10</w:t>
            </w:r>
            <w:r>
              <w:rPr>
                <w:noProof/>
                <w:webHidden/>
              </w:rPr>
              <w:fldChar w:fldCharType="end"/>
            </w:r>
          </w:hyperlink>
        </w:p>
        <w:p w:rsidR="0029466E" w:rsidRDefault="0029466E" w14:paraId="1A8DCD85" w14:textId="6CE5F40F">
          <w:pPr>
            <w:pStyle w:val="TOC2"/>
            <w:rPr>
              <w:rFonts w:eastAsiaTheme="minorEastAsia"/>
              <w:noProof/>
              <w:color w:val="auto"/>
              <w:kern w:val="2"/>
              <w:sz w:val="24"/>
              <w:szCs w:val="24"/>
              <w:lang w:eastAsia="en-GB"/>
              <w14:ligatures w14:val="standardContextual"/>
            </w:rPr>
          </w:pPr>
          <w:hyperlink w:history="1" w:anchor="_Toc223413728">
            <w:r w:rsidRPr="000E0FE6">
              <w:rPr>
                <w:rStyle w:val="Hyperlink"/>
                <w:noProof/>
                <w:lang w:val="en-US"/>
              </w:rPr>
              <w:t>2.1. Placing the user at the centre: Users want services to fulfil their needs</w:t>
            </w:r>
            <w:r>
              <w:rPr>
                <w:noProof/>
                <w:webHidden/>
              </w:rPr>
              <w:tab/>
            </w:r>
            <w:r>
              <w:rPr>
                <w:noProof/>
                <w:webHidden/>
              </w:rPr>
              <w:fldChar w:fldCharType="begin"/>
            </w:r>
            <w:r>
              <w:rPr>
                <w:noProof/>
                <w:webHidden/>
              </w:rPr>
              <w:instrText xml:space="preserve"> PAGEREF _Toc223413728 \h </w:instrText>
            </w:r>
            <w:r>
              <w:rPr>
                <w:noProof/>
                <w:webHidden/>
              </w:rPr>
            </w:r>
            <w:r>
              <w:rPr>
                <w:noProof/>
                <w:webHidden/>
              </w:rPr>
              <w:fldChar w:fldCharType="separate"/>
            </w:r>
            <w:r w:rsidR="00543B3D">
              <w:rPr>
                <w:noProof/>
                <w:webHidden/>
              </w:rPr>
              <w:t>10</w:t>
            </w:r>
            <w:r>
              <w:rPr>
                <w:noProof/>
                <w:webHidden/>
              </w:rPr>
              <w:fldChar w:fldCharType="end"/>
            </w:r>
          </w:hyperlink>
        </w:p>
        <w:p w:rsidR="0029466E" w:rsidRDefault="0029466E" w14:paraId="4D122E7F" w14:textId="02DA44F1">
          <w:pPr>
            <w:pStyle w:val="TOC2"/>
            <w:rPr>
              <w:rFonts w:eastAsiaTheme="minorEastAsia"/>
              <w:noProof/>
              <w:color w:val="auto"/>
              <w:kern w:val="2"/>
              <w:sz w:val="24"/>
              <w:szCs w:val="24"/>
              <w:lang w:eastAsia="en-GB"/>
              <w14:ligatures w14:val="standardContextual"/>
            </w:rPr>
          </w:pPr>
          <w:hyperlink w:history="1" w:anchor="_Toc223413729">
            <w:r w:rsidRPr="000E0FE6">
              <w:rPr>
                <w:rStyle w:val="Hyperlink"/>
                <w:noProof/>
                <w:lang w:val="en-US"/>
              </w:rPr>
              <w:t>2.2. Proactive services: Anticipating users’ needs</w:t>
            </w:r>
            <w:r>
              <w:rPr>
                <w:noProof/>
                <w:webHidden/>
              </w:rPr>
              <w:tab/>
            </w:r>
            <w:r>
              <w:rPr>
                <w:noProof/>
                <w:webHidden/>
              </w:rPr>
              <w:fldChar w:fldCharType="begin"/>
            </w:r>
            <w:r>
              <w:rPr>
                <w:noProof/>
                <w:webHidden/>
              </w:rPr>
              <w:instrText xml:space="preserve"> PAGEREF _Toc223413729 \h </w:instrText>
            </w:r>
            <w:r>
              <w:rPr>
                <w:noProof/>
                <w:webHidden/>
              </w:rPr>
            </w:r>
            <w:r>
              <w:rPr>
                <w:noProof/>
                <w:webHidden/>
              </w:rPr>
              <w:fldChar w:fldCharType="separate"/>
            </w:r>
            <w:r w:rsidR="00543B3D">
              <w:rPr>
                <w:noProof/>
                <w:webHidden/>
              </w:rPr>
              <w:t>18</w:t>
            </w:r>
            <w:r>
              <w:rPr>
                <w:noProof/>
                <w:webHidden/>
              </w:rPr>
              <w:fldChar w:fldCharType="end"/>
            </w:r>
          </w:hyperlink>
        </w:p>
        <w:p w:rsidR="0029466E" w:rsidRDefault="0029466E" w14:paraId="4D8EAD68" w14:textId="57F8D400">
          <w:pPr>
            <w:pStyle w:val="TOC2"/>
            <w:rPr>
              <w:rFonts w:eastAsiaTheme="minorEastAsia"/>
              <w:noProof/>
              <w:color w:val="auto"/>
              <w:kern w:val="2"/>
              <w:sz w:val="24"/>
              <w:szCs w:val="24"/>
              <w:lang w:eastAsia="en-GB"/>
              <w14:ligatures w14:val="standardContextual"/>
            </w:rPr>
          </w:pPr>
          <w:hyperlink w:history="1" w:anchor="_Toc223413730">
            <w:r w:rsidRPr="000E0FE6">
              <w:rPr>
                <w:rStyle w:val="Hyperlink"/>
                <w:noProof/>
                <w:lang w:val="en-US"/>
              </w:rPr>
              <w:t>2.3. Accessible services: Providing services to users through the preferred channel</w:t>
            </w:r>
            <w:r>
              <w:rPr>
                <w:noProof/>
                <w:webHidden/>
              </w:rPr>
              <w:tab/>
            </w:r>
            <w:r>
              <w:rPr>
                <w:noProof/>
                <w:webHidden/>
              </w:rPr>
              <w:fldChar w:fldCharType="begin"/>
            </w:r>
            <w:r>
              <w:rPr>
                <w:noProof/>
                <w:webHidden/>
              </w:rPr>
              <w:instrText xml:space="preserve"> PAGEREF _Toc223413730 \h </w:instrText>
            </w:r>
            <w:r>
              <w:rPr>
                <w:noProof/>
                <w:webHidden/>
              </w:rPr>
            </w:r>
            <w:r>
              <w:rPr>
                <w:noProof/>
                <w:webHidden/>
              </w:rPr>
              <w:fldChar w:fldCharType="separate"/>
            </w:r>
            <w:r w:rsidR="00543B3D">
              <w:rPr>
                <w:noProof/>
                <w:webHidden/>
              </w:rPr>
              <w:t>25</w:t>
            </w:r>
            <w:r>
              <w:rPr>
                <w:noProof/>
                <w:webHidden/>
              </w:rPr>
              <w:fldChar w:fldCharType="end"/>
            </w:r>
          </w:hyperlink>
        </w:p>
        <w:p w:rsidR="0029466E" w:rsidRDefault="0029466E" w14:paraId="759F3E81" w14:textId="4D2BD185">
          <w:pPr>
            <w:pStyle w:val="TOC2"/>
            <w:rPr>
              <w:rFonts w:eastAsiaTheme="minorEastAsia"/>
              <w:noProof/>
              <w:color w:val="auto"/>
              <w:kern w:val="2"/>
              <w:sz w:val="24"/>
              <w:szCs w:val="24"/>
              <w:lang w:eastAsia="en-GB"/>
              <w14:ligatures w14:val="standardContextual"/>
            </w:rPr>
          </w:pPr>
          <w:hyperlink w:history="1" w:anchor="_Toc223413731">
            <w:r w:rsidRPr="000E0FE6">
              <w:rPr>
                <w:rStyle w:val="Hyperlink"/>
                <w:noProof/>
              </w:rPr>
              <w:t>2.4. Tools for supporting Access to Public Services for Users</w:t>
            </w:r>
            <w:r>
              <w:rPr>
                <w:noProof/>
                <w:webHidden/>
              </w:rPr>
              <w:tab/>
            </w:r>
            <w:r>
              <w:rPr>
                <w:noProof/>
                <w:webHidden/>
              </w:rPr>
              <w:fldChar w:fldCharType="begin"/>
            </w:r>
            <w:r>
              <w:rPr>
                <w:noProof/>
                <w:webHidden/>
              </w:rPr>
              <w:instrText xml:space="preserve"> PAGEREF _Toc223413731 \h </w:instrText>
            </w:r>
            <w:r>
              <w:rPr>
                <w:noProof/>
                <w:webHidden/>
              </w:rPr>
            </w:r>
            <w:r>
              <w:rPr>
                <w:noProof/>
                <w:webHidden/>
              </w:rPr>
              <w:fldChar w:fldCharType="separate"/>
            </w:r>
            <w:r w:rsidR="00543B3D">
              <w:rPr>
                <w:noProof/>
                <w:webHidden/>
              </w:rPr>
              <w:t>31</w:t>
            </w:r>
            <w:r>
              <w:rPr>
                <w:noProof/>
                <w:webHidden/>
              </w:rPr>
              <w:fldChar w:fldCharType="end"/>
            </w:r>
          </w:hyperlink>
        </w:p>
        <w:p w:rsidR="0029466E" w:rsidRDefault="0029466E" w14:paraId="792DBEE4" w14:textId="335F9134">
          <w:pPr>
            <w:pStyle w:val="TOC1"/>
            <w:rPr>
              <w:rFonts w:asciiTheme="minorHAnsi" w:hAnsiTheme="minorHAnsi" w:eastAsiaTheme="minorEastAsia"/>
              <w:noProof/>
              <w:color w:val="auto"/>
              <w:kern w:val="2"/>
              <w:sz w:val="24"/>
              <w:szCs w:val="24"/>
              <w:lang w:eastAsia="en-GB"/>
              <w14:ligatures w14:val="standardContextual"/>
            </w:rPr>
          </w:pPr>
          <w:hyperlink w:history="1" w:anchor="_Toc223413732">
            <w:r w:rsidRPr="000E0FE6">
              <w:rPr>
                <w:rStyle w:val="Hyperlink"/>
                <w:noProof/>
                <w:lang w:val="en-US"/>
              </w:rPr>
              <w:t>3. Navigating public services</w:t>
            </w:r>
            <w:r>
              <w:rPr>
                <w:noProof/>
                <w:webHidden/>
              </w:rPr>
              <w:tab/>
            </w:r>
            <w:r>
              <w:rPr>
                <w:noProof/>
                <w:webHidden/>
              </w:rPr>
              <w:fldChar w:fldCharType="begin"/>
            </w:r>
            <w:r>
              <w:rPr>
                <w:noProof/>
                <w:webHidden/>
              </w:rPr>
              <w:instrText xml:space="preserve"> PAGEREF _Toc223413732 \h </w:instrText>
            </w:r>
            <w:r>
              <w:rPr>
                <w:noProof/>
                <w:webHidden/>
              </w:rPr>
            </w:r>
            <w:r>
              <w:rPr>
                <w:noProof/>
                <w:webHidden/>
              </w:rPr>
              <w:fldChar w:fldCharType="separate"/>
            </w:r>
            <w:r w:rsidR="00543B3D">
              <w:rPr>
                <w:noProof/>
                <w:webHidden/>
              </w:rPr>
              <w:t>34</w:t>
            </w:r>
            <w:r>
              <w:rPr>
                <w:noProof/>
                <w:webHidden/>
              </w:rPr>
              <w:fldChar w:fldCharType="end"/>
            </w:r>
          </w:hyperlink>
        </w:p>
        <w:p w:rsidR="0029466E" w:rsidRDefault="0029466E" w14:paraId="6B011D8C" w14:textId="15050562">
          <w:pPr>
            <w:pStyle w:val="TOC2"/>
            <w:rPr>
              <w:rFonts w:eastAsiaTheme="minorEastAsia"/>
              <w:noProof/>
              <w:color w:val="auto"/>
              <w:kern w:val="2"/>
              <w:sz w:val="24"/>
              <w:szCs w:val="24"/>
              <w:lang w:eastAsia="en-GB"/>
              <w14:ligatures w14:val="standardContextual"/>
            </w:rPr>
          </w:pPr>
          <w:hyperlink w:history="1" w:anchor="_Toc223413733">
            <w:r w:rsidRPr="000E0FE6">
              <w:rPr>
                <w:rStyle w:val="Hyperlink"/>
                <w:noProof/>
                <w:lang w:val="en-US"/>
              </w:rPr>
              <w:t>3.1. Providing clear services to users</w:t>
            </w:r>
            <w:r>
              <w:rPr>
                <w:noProof/>
                <w:webHidden/>
              </w:rPr>
              <w:tab/>
            </w:r>
            <w:r>
              <w:rPr>
                <w:noProof/>
                <w:webHidden/>
              </w:rPr>
              <w:fldChar w:fldCharType="begin"/>
            </w:r>
            <w:r>
              <w:rPr>
                <w:noProof/>
                <w:webHidden/>
              </w:rPr>
              <w:instrText xml:space="preserve"> PAGEREF _Toc223413733 \h </w:instrText>
            </w:r>
            <w:r>
              <w:rPr>
                <w:noProof/>
                <w:webHidden/>
              </w:rPr>
            </w:r>
            <w:r>
              <w:rPr>
                <w:noProof/>
                <w:webHidden/>
              </w:rPr>
              <w:fldChar w:fldCharType="separate"/>
            </w:r>
            <w:r w:rsidR="00543B3D">
              <w:rPr>
                <w:noProof/>
                <w:webHidden/>
              </w:rPr>
              <w:t>34</w:t>
            </w:r>
            <w:r>
              <w:rPr>
                <w:noProof/>
                <w:webHidden/>
              </w:rPr>
              <w:fldChar w:fldCharType="end"/>
            </w:r>
          </w:hyperlink>
        </w:p>
        <w:p w:rsidR="0029466E" w:rsidRDefault="0029466E" w14:paraId="24D77348" w14:textId="78FA0B08">
          <w:pPr>
            <w:pStyle w:val="TOC2"/>
            <w:rPr>
              <w:rFonts w:eastAsiaTheme="minorEastAsia"/>
              <w:noProof/>
              <w:color w:val="auto"/>
              <w:kern w:val="2"/>
              <w:sz w:val="24"/>
              <w:szCs w:val="24"/>
              <w:lang w:eastAsia="en-GB"/>
              <w14:ligatures w14:val="standardContextual"/>
            </w:rPr>
          </w:pPr>
          <w:hyperlink w:history="1" w:anchor="_Toc223413734">
            <w:r w:rsidRPr="000E0FE6">
              <w:rPr>
                <w:rStyle w:val="Hyperlink"/>
                <w:noProof/>
              </w:rPr>
              <w:t>3.2. Delivering seamless services to users</w:t>
            </w:r>
            <w:r>
              <w:rPr>
                <w:noProof/>
                <w:webHidden/>
              </w:rPr>
              <w:tab/>
            </w:r>
            <w:r>
              <w:rPr>
                <w:noProof/>
                <w:webHidden/>
              </w:rPr>
              <w:fldChar w:fldCharType="begin"/>
            </w:r>
            <w:r>
              <w:rPr>
                <w:noProof/>
                <w:webHidden/>
              </w:rPr>
              <w:instrText xml:space="preserve"> PAGEREF _Toc223413734 \h </w:instrText>
            </w:r>
            <w:r>
              <w:rPr>
                <w:noProof/>
                <w:webHidden/>
              </w:rPr>
            </w:r>
            <w:r>
              <w:rPr>
                <w:noProof/>
                <w:webHidden/>
              </w:rPr>
              <w:fldChar w:fldCharType="separate"/>
            </w:r>
            <w:r w:rsidR="00543B3D">
              <w:rPr>
                <w:noProof/>
                <w:webHidden/>
              </w:rPr>
              <w:t>38</w:t>
            </w:r>
            <w:r>
              <w:rPr>
                <w:noProof/>
                <w:webHidden/>
              </w:rPr>
              <w:fldChar w:fldCharType="end"/>
            </w:r>
          </w:hyperlink>
        </w:p>
        <w:p w:rsidR="0029466E" w:rsidRDefault="0029466E" w14:paraId="786E4886" w14:textId="57512181">
          <w:pPr>
            <w:pStyle w:val="TOC2"/>
            <w:rPr>
              <w:rFonts w:eastAsiaTheme="minorEastAsia"/>
              <w:noProof/>
              <w:color w:val="auto"/>
              <w:kern w:val="2"/>
              <w:sz w:val="24"/>
              <w:szCs w:val="24"/>
              <w:lang w:eastAsia="en-GB"/>
              <w14:ligatures w14:val="standardContextual"/>
            </w:rPr>
          </w:pPr>
          <w:hyperlink w:history="1" w:anchor="_Toc223413735">
            <w:r w:rsidRPr="000E0FE6">
              <w:rPr>
                <w:rStyle w:val="Hyperlink"/>
                <w:noProof/>
              </w:rPr>
              <w:t>3.3. Fostering integrated services for users to provide information once</w:t>
            </w:r>
            <w:r>
              <w:rPr>
                <w:noProof/>
                <w:webHidden/>
              </w:rPr>
              <w:tab/>
            </w:r>
            <w:r>
              <w:rPr>
                <w:noProof/>
                <w:webHidden/>
              </w:rPr>
              <w:fldChar w:fldCharType="begin"/>
            </w:r>
            <w:r>
              <w:rPr>
                <w:noProof/>
                <w:webHidden/>
              </w:rPr>
              <w:instrText xml:space="preserve"> PAGEREF _Toc223413735 \h </w:instrText>
            </w:r>
            <w:r>
              <w:rPr>
                <w:noProof/>
                <w:webHidden/>
              </w:rPr>
            </w:r>
            <w:r>
              <w:rPr>
                <w:noProof/>
                <w:webHidden/>
              </w:rPr>
              <w:fldChar w:fldCharType="separate"/>
            </w:r>
            <w:r w:rsidR="00543B3D">
              <w:rPr>
                <w:noProof/>
                <w:webHidden/>
              </w:rPr>
              <w:t>48</w:t>
            </w:r>
            <w:r>
              <w:rPr>
                <w:noProof/>
                <w:webHidden/>
              </w:rPr>
              <w:fldChar w:fldCharType="end"/>
            </w:r>
          </w:hyperlink>
        </w:p>
        <w:p w:rsidR="0029466E" w:rsidRDefault="0029466E" w14:paraId="39E145CD" w14:textId="4EEA9381">
          <w:pPr>
            <w:pStyle w:val="TOC2"/>
            <w:rPr>
              <w:rFonts w:eastAsiaTheme="minorEastAsia"/>
              <w:noProof/>
              <w:color w:val="auto"/>
              <w:kern w:val="2"/>
              <w:sz w:val="24"/>
              <w:szCs w:val="24"/>
              <w:lang w:eastAsia="en-GB"/>
              <w14:ligatures w14:val="standardContextual"/>
            </w:rPr>
          </w:pPr>
          <w:hyperlink w:history="1" w:anchor="_Toc223413736">
            <w:r w:rsidRPr="000E0FE6">
              <w:rPr>
                <w:rStyle w:val="Hyperlink"/>
                <w:noProof/>
              </w:rPr>
              <w:t>3.4. Tools for supporting the delivery of clear, seamless and integrated public services</w:t>
            </w:r>
            <w:r>
              <w:rPr>
                <w:noProof/>
                <w:webHidden/>
              </w:rPr>
              <w:tab/>
            </w:r>
            <w:r>
              <w:rPr>
                <w:noProof/>
                <w:webHidden/>
              </w:rPr>
              <w:fldChar w:fldCharType="begin"/>
            </w:r>
            <w:r>
              <w:rPr>
                <w:noProof/>
                <w:webHidden/>
              </w:rPr>
              <w:instrText xml:space="preserve"> PAGEREF _Toc223413736 \h </w:instrText>
            </w:r>
            <w:r>
              <w:rPr>
                <w:noProof/>
                <w:webHidden/>
              </w:rPr>
            </w:r>
            <w:r>
              <w:rPr>
                <w:noProof/>
                <w:webHidden/>
              </w:rPr>
              <w:fldChar w:fldCharType="separate"/>
            </w:r>
            <w:r w:rsidR="00543B3D">
              <w:rPr>
                <w:noProof/>
                <w:webHidden/>
              </w:rPr>
              <w:t>57</w:t>
            </w:r>
            <w:r>
              <w:rPr>
                <w:noProof/>
                <w:webHidden/>
              </w:rPr>
              <w:fldChar w:fldCharType="end"/>
            </w:r>
          </w:hyperlink>
        </w:p>
        <w:p w:rsidR="0029466E" w:rsidRDefault="0029466E" w14:paraId="123F8C89" w14:textId="0D66D751">
          <w:pPr>
            <w:pStyle w:val="TOC1"/>
            <w:rPr>
              <w:rFonts w:asciiTheme="minorHAnsi" w:hAnsiTheme="minorHAnsi" w:eastAsiaTheme="minorEastAsia"/>
              <w:noProof/>
              <w:color w:val="auto"/>
              <w:kern w:val="2"/>
              <w:sz w:val="24"/>
              <w:szCs w:val="24"/>
              <w:lang w:eastAsia="en-GB"/>
              <w14:ligatures w14:val="standardContextual"/>
            </w:rPr>
          </w:pPr>
          <w:hyperlink w:history="1" w:anchor="_Toc223413737">
            <w:r w:rsidRPr="000E0FE6">
              <w:rPr>
                <w:rStyle w:val="Hyperlink"/>
                <w:noProof/>
              </w:rPr>
              <w:t>4. Achieving results</w:t>
            </w:r>
            <w:r>
              <w:rPr>
                <w:noProof/>
                <w:webHidden/>
              </w:rPr>
              <w:tab/>
            </w:r>
            <w:r>
              <w:rPr>
                <w:noProof/>
                <w:webHidden/>
              </w:rPr>
              <w:fldChar w:fldCharType="begin"/>
            </w:r>
            <w:r>
              <w:rPr>
                <w:noProof/>
                <w:webHidden/>
              </w:rPr>
              <w:instrText xml:space="preserve"> PAGEREF _Toc223413737 \h </w:instrText>
            </w:r>
            <w:r>
              <w:rPr>
                <w:noProof/>
                <w:webHidden/>
              </w:rPr>
            </w:r>
            <w:r>
              <w:rPr>
                <w:noProof/>
                <w:webHidden/>
              </w:rPr>
              <w:fldChar w:fldCharType="separate"/>
            </w:r>
            <w:r w:rsidR="00543B3D">
              <w:rPr>
                <w:noProof/>
                <w:webHidden/>
              </w:rPr>
              <w:t>60</w:t>
            </w:r>
            <w:r>
              <w:rPr>
                <w:noProof/>
                <w:webHidden/>
              </w:rPr>
              <w:fldChar w:fldCharType="end"/>
            </w:r>
          </w:hyperlink>
        </w:p>
        <w:p w:rsidR="0029466E" w:rsidRDefault="0029466E" w14:paraId="2AFF2D0D" w14:textId="005E867B">
          <w:pPr>
            <w:pStyle w:val="TOC2"/>
            <w:rPr>
              <w:rFonts w:eastAsiaTheme="minorEastAsia"/>
              <w:noProof/>
              <w:color w:val="auto"/>
              <w:kern w:val="2"/>
              <w:sz w:val="24"/>
              <w:szCs w:val="24"/>
              <w:lang w:eastAsia="en-GB"/>
              <w14:ligatures w14:val="standardContextual"/>
            </w:rPr>
          </w:pPr>
          <w:hyperlink w:history="1" w:anchor="_Toc223413738">
            <w:r w:rsidRPr="000E0FE6">
              <w:rPr>
                <w:rStyle w:val="Hyperlink"/>
                <w:bCs/>
                <w:noProof/>
                <w:lang w:val="en-US"/>
              </w:rPr>
              <w:t>4.1. Simple services</w:t>
            </w:r>
            <w:r>
              <w:rPr>
                <w:noProof/>
                <w:webHidden/>
              </w:rPr>
              <w:tab/>
            </w:r>
            <w:r>
              <w:rPr>
                <w:noProof/>
                <w:webHidden/>
              </w:rPr>
              <w:fldChar w:fldCharType="begin"/>
            </w:r>
            <w:r>
              <w:rPr>
                <w:noProof/>
                <w:webHidden/>
              </w:rPr>
              <w:instrText xml:space="preserve"> PAGEREF _Toc223413738 \h </w:instrText>
            </w:r>
            <w:r>
              <w:rPr>
                <w:noProof/>
                <w:webHidden/>
              </w:rPr>
            </w:r>
            <w:r>
              <w:rPr>
                <w:noProof/>
                <w:webHidden/>
              </w:rPr>
              <w:fldChar w:fldCharType="separate"/>
            </w:r>
            <w:r w:rsidR="00543B3D">
              <w:rPr>
                <w:noProof/>
                <w:webHidden/>
              </w:rPr>
              <w:t>60</w:t>
            </w:r>
            <w:r>
              <w:rPr>
                <w:noProof/>
                <w:webHidden/>
              </w:rPr>
              <w:fldChar w:fldCharType="end"/>
            </w:r>
          </w:hyperlink>
        </w:p>
        <w:p w:rsidR="0029466E" w:rsidRDefault="0029466E" w14:paraId="1A7017ED" w14:textId="1F62FFCA">
          <w:pPr>
            <w:pStyle w:val="TOC2"/>
            <w:rPr>
              <w:rFonts w:eastAsiaTheme="minorEastAsia"/>
              <w:noProof/>
              <w:color w:val="auto"/>
              <w:kern w:val="2"/>
              <w:sz w:val="24"/>
              <w:szCs w:val="24"/>
              <w:lang w:eastAsia="en-GB"/>
              <w14:ligatures w14:val="standardContextual"/>
            </w:rPr>
          </w:pPr>
          <w:hyperlink w:history="1" w:anchor="_Toc223413739">
            <w:r w:rsidRPr="000E0FE6">
              <w:rPr>
                <w:rStyle w:val="Hyperlink"/>
                <w:noProof/>
                <w:lang w:val="en-US"/>
              </w:rPr>
              <w:t>4.2. Obtaining services with speed</w:t>
            </w:r>
            <w:r>
              <w:rPr>
                <w:noProof/>
                <w:webHidden/>
              </w:rPr>
              <w:tab/>
            </w:r>
            <w:r>
              <w:rPr>
                <w:noProof/>
                <w:webHidden/>
              </w:rPr>
              <w:fldChar w:fldCharType="begin"/>
            </w:r>
            <w:r>
              <w:rPr>
                <w:noProof/>
                <w:webHidden/>
              </w:rPr>
              <w:instrText xml:space="preserve"> PAGEREF _Toc223413739 \h </w:instrText>
            </w:r>
            <w:r>
              <w:rPr>
                <w:noProof/>
                <w:webHidden/>
              </w:rPr>
            </w:r>
            <w:r>
              <w:rPr>
                <w:noProof/>
                <w:webHidden/>
              </w:rPr>
              <w:fldChar w:fldCharType="separate"/>
            </w:r>
            <w:r w:rsidR="00543B3D">
              <w:rPr>
                <w:noProof/>
                <w:webHidden/>
              </w:rPr>
              <w:t>68</w:t>
            </w:r>
            <w:r>
              <w:rPr>
                <w:noProof/>
                <w:webHidden/>
              </w:rPr>
              <w:fldChar w:fldCharType="end"/>
            </w:r>
          </w:hyperlink>
        </w:p>
        <w:p w:rsidR="0029466E" w:rsidRDefault="0029466E" w14:paraId="5952AE85" w14:textId="58602408">
          <w:pPr>
            <w:pStyle w:val="TOC2"/>
            <w:rPr>
              <w:rFonts w:eastAsiaTheme="minorEastAsia"/>
              <w:noProof/>
              <w:color w:val="auto"/>
              <w:kern w:val="2"/>
              <w:sz w:val="24"/>
              <w:szCs w:val="24"/>
              <w:lang w:eastAsia="en-GB"/>
              <w14:ligatures w14:val="standardContextual"/>
            </w:rPr>
          </w:pPr>
          <w:hyperlink w:history="1" w:anchor="_Toc223413740">
            <w:r w:rsidRPr="000E0FE6">
              <w:rPr>
                <w:rStyle w:val="Hyperlink"/>
                <w:noProof/>
                <w:lang w:val="en-US"/>
              </w:rPr>
              <w:t>4.3. Achieving results that are fair and treat everyone equally</w:t>
            </w:r>
            <w:r>
              <w:rPr>
                <w:noProof/>
                <w:webHidden/>
              </w:rPr>
              <w:tab/>
            </w:r>
            <w:r>
              <w:rPr>
                <w:noProof/>
                <w:webHidden/>
              </w:rPr>
              <w:fldChar w:fldCharType="begin"/>
            </w:r>
            <w:r>
              <w:rPr>
                <w:noProof/>
                <w:webHidden/>
              </w:rPr>
              <w:instrText xml:space="preserve"> PAGEREF _Toc223413740 \h </w:instrText>
            </w:r>
            <w:r>
              <w:rPr>
                <w:noProof/>
                <w:webHidden/>
              </w:rPr>
            </w:r>
            <w:r>
              <w:rPr>
                <w:noProof/>
                <w:webHidden/>
              </w:rPr>
              <w:fldChar w:fldCharType="separate"/>
            </w:r>
            <w:r w:rsidR="00543B3D">
              <w:rPr>
                <w:noProof/>
                <w:webHidden/>
              </w:rPr>
              <w:t>70</w:t>
            </w:r>
            <w:r>
              <w:rPr>
                <w:noProof/>
                <w:webHidden/>
              </w:rPr>
              <w:fldChar w:fldCharType="end"/>
            </w:r>
          </w:hyperlink>
        </w:p>
        <w:p w:rsidR="0029466E" w:rsidRDefault="0029466E" w14:paraId="53FE12D6" w14:textId="3E94F723">
          <w:pPr>
            <w:pStyle w:val="TOC2"/>
            <w:rPr>
              <w:rFonts w:eastAsiaTheme="minorEastAsia"/>
              <w:noProof/>
              <w:color w:val="auto"/>
              <w:kern w:val="2"/>
              <w:sz w:val="24"/>
              <w:szCs w:val="24"/>
              <w:lang w:eastAsia="en-GB"/>
              <w14:ligatures w14:val="standardContextual"/>
            </w:rPr>
          </w:pPr>
          <w:hyperlink w:history="1" w:anchor="_Toc223413741">
            <w:r w:rsidRPr="000E0FE6">
              <w:rPr>
                <w:rStyle w:val="Hyperlink"/>
                <w:noProof/>
                <w:lang w:val="en-US"/>
              </w:rPr>
              <w:t>4.4. Tools for achieving results from simple, fast and fair public services</w:t>
            </w:r>
            <w:r>
              <w:rPr>
                <w:noProof/>
                <w:webHidden/>
              </w:rPr>
              <w:tab/>
            </w:r>
            <w:r>
              <w:rPr>
                <w:noProof/>
                <w:webHidden/>
              </w:rPr>
              <w:fldChar w:fldCharType="begin"/>
            </w:r>
            <w:r>
              <w:rPr>
                <w:noProof/>
                <w:webHidden/>
              </w:rPr>
              <w:instrText xml:space="preserve"> PAGEREF _Toc223413741 \h </w:instrText>
            </w:r>
            <w:r>
              <w:rPr>
                <w:noProof/>
                <w:webHidden/>
              </w:rPr>
            </w:r>
            <w:r>
              <w:rPr>
                <w:noProof/>
                <w:webHidden/>
              </w:rPr>
              <w:fldChar w:fldCharType="separate"/>
            </w:r>
            <w:r w:rsidR="00543B3D">
              <w:rPr>
                <w:noProof/>
                <w:webHidden/>
              </w:rPr>
              <w:t>75</w:t>
            </w:r>
            <w:r>
              <w:rPr>
                <w:noProof/>
                <w:webHidden/>
              </w:rPr>
              <w:fldChar w:fldCharType="end"/>
            </w:r>
          </w:hyperlink>
        </w:p>
        <w:p w:rsidR="0029466E" w:rsidRDefault="0029466E" w14:paraId="55257282" w14:textId="06CF3DAD">
          <w:pPr>
            <w:pStyle w:val="TOC1"/>
            <w:rPr>
              <w:rFonts w:asciiTheme="minorHAnsi" w:hAnsiTheme="minorHAnsi" w:eastAsiaTheme="minorEastAsia"/>
              <w:noProof/>
              <w:color w:val="auto"/>
              <w:kern w:val="2"/>
              <w:sz w:val="24"/>
              <w:szCs w:val="24"/>
              <w:lang w:eastAsia="en-GB"/>
              <w14:ligatures w14:val="standardContextual"/>
            </w:rPr>
          </w:pPr>
          <w:hyperlink w:history="1" w:anchor="_Toc223413742">
            <w:r w:rsidRPr="000E0FE6">
              <w:rPr>
                <w:rStyle w:val="Hyperlink"/>
                <w:noProof/>
              </w:rPr>
              <w:t>5. Country approaches to measuring, engaging and improving public services</w:t>
            </w:r>
            <w:r>
              <w:rPr>
                <w:noProof/>
                <w:webHidden/>
              </w:rPr>
              <w:tab/>
            </w:r>
            <w:r>
              <w:rPr>
                <w:noProof/>
                <w:webHidden/>
              </w:rPr>
              <w:fldChar w:fldCharType="begin"/>
            </w:r>
            <w:r>
              <w:rPr>
                <w:noProof/>
                <w:webHidden/>
              </w:rPr>
              <w:instrText xml:space="preserve"> PAGEREF _Toc223413742 \h </w:instrText>
            </w:r>
            <w:r>
              <w:rPr>
                <w:noProof/>
                <w:webHidden/>
              </w:rPr>
            </w:r>
            <w:r>
              <w:rPr>
                <w:noProof/>
                <w:webHidden/>
              </w:rPr>
              <w:fldChar w:fldCharType="separate"/>
            </w:r>
            <w:r w:rsidR="00543B3D">
              <w:rPr>
                <w:noProof/>
                <w:webHidden/>
              </w:rPr>
              <w:t>78</w:t>
            </w:r>
            <w:r>
              <w:rPr>
                <w:noProof/>
                <w:webHidden/>
              </w:rPr>
              <w:fldChar w:fldCharType="end"/>
            </w:r>
          </w:hyperlink>
        </w:p>
        <w:p w:rsidR="0029466E" w:rsidRDefault="0029466E" w14:paraId="18A6CC1B" w14:textId="0EBB512C">
          <w:pPr>
            <w:pStyle w:val="TOC2"/>
            <w:rPr>
              <w:rFonts w:eastAsiaTheme="minorEastAsia"/>
              <w:noProof/>
              <w:color w:val="auto"/>
              <w:kern w:val="2"/>
              <w:sz w:val="24"/>
              <w:szCs w:val="24"/>
              <w:lang w:eastAsia="en-GB"/>
              <w14:ligatures w14:val="standardContextual"/>
            </w:rPr>
          </w:pPr>
          <w:hyperlink w:history="1" w:anchor="_Toc223413743">
            <w:r w:rsidRPr="000E0FE6">
              <w:rPr>
                <w:rStyle w:val="Hyperlink"/>
                <w:noProof/>
              </w:rPr>
              <w:t>5.1. User experience surveys</w:t>
            </w:r>
            <w:r>
              <w:rPr>
                <w:noProof/>
                <w:webHidden/>
              </w:rPr>
              <w:tab/>
            </w:r>
            <w:r>
              <w:rPr>
                <w:noProof/>
                <w:webHidden/>
              </w:rPr>
              <w:fldChar w:fldCharType="begin"/>
            </w:r>
            <w:r>
              <w:rPr>
                <w:noProof/>
                <w:webHidden/>
              </w:rPr>
              <w:instrText xml:space="preserve"> PAGEREF _Toc223413743 \h </w:instrText>
            </w:r>
            <w:r>
              <w:rPr>
                <w:noProof/>
                <w:webHidden/>
              </w:rPr>
            </w:r>
            <w:r>
              <w:rPr>
                <w:noProof/>
                <w:webHidden/>
              </w:rPr>
              <w:fldChar w:fldCharType="separate"/>
            </w:r>
            <w:r w:rsidR="00543B3D">
              <w:rPr>
                <w:noProof/>
                <w:webHidden/>
              </w:rPr>
              <w:t>78</w:t>
            </w:r>
            <w:r>
              <w:rPr>
                <w:noProof/>
                <w:webHidden/>
              </w:rPr>
              <w:fldChar w:fldCharType="end"/>
            </w:r>
          </w:hyperlink>
        </w:p>
        <w:p w:rsidR="0029466E" w:rsidRDefault="0029466E" w14:paraId="51F0EA58" w14:textId="1C7AF201">
          <w:pPr>
            <w:pStyle w:val="TOC2"/>
            <w:rPr>
              <w:rFonts w:eastAsiaTheme="minorEastAsia"/>
              <w:noProof/>
              <w:color w:val="auto"/>
              <w:kern w:val="2"/>
              <w:sz w:val="24"/>
              <w:szCs w:val="24"/>
              <w:lang w:eastAsia="en-GB"/>
              <w14:ligatures w14:val="standardContextual"/>
            </w:rPr>
          </w:pPr>
          <w:hyperlink w:history="1" w:anchor="_Toc223413744">
            <w:r w:rsidRPr="000E0FE6">
              <w:rPr>
                <w:rStyle w:val="Hyperlink"/>
                <w:noProof/>
              </w:rPr>
              <w:t>5.2. Other user consultation and feedback mechanisms</w:t>
            </w:r>
            <w:r>
              <w:rPr>
                <w:noProof/>
                <w:webHidden/>
              </w:rPr>
              <w:tab/>
            </w:r>
            <w:r>
              <w:rPr>
                <w:noProof/>
                <w:webHidden/>
              </w:rPr>
              <w:fldChar w:fldCharType="begin"/>
            </w:r>
            <w:r>
              <w:rPr>
                <w:noProof/>
                <w:webHidden/>
              </w:rPr>
              <w:instrText xml:space="preserve"> PAGEREF _Toc223413744 \h </w:instrText>
            </w:r>
            <w:r>
              <w:rPr>
                <w:noProof/>
                <w:webHidden/>
              </w:rPr>
            </w:r>
            <w:r>
              <w:rPr>
                <w:noProof/>
                <w:webHidden/>
              </w:rPr>
              <w:fldChar w:fldCharType="separate"/>
            </w:r>
            <w:r w:rsidR="00543B3D">
              <w:rPr>
                <w:noProof/>
                <w:webHidden/>
              </w:rPr>
              <w:t>82</w:t>
            </w:r>
            <w:r>
              <w:rPr>
                <w:noProof/>
                <w:webHidden/>
              </w:rPr>
              <w:fldChar w:fldCharType="end"/>
            </w:r>
          </w:hyperlink>
        </w:p>
        <w:p w:rsidR="0029466E" w:rsidRDefault="0029466E" w14:paraId="225B1733" w14:textId="061D6255">
          <w:pPr>
            <w:pStyle w:val="TOC2"/>
            <w:rPr>
              <w:rFonts w:eastAsiaTheme="minorEastAsia"/>
              <w:noProof/>
              <w:color w:val="auto"/>
              <w:kern w:val="2"/>
              <w:sz w:val="24"/>
              <w:szCs w:val="24"/>
              <w:lang w:eastAsia="en-GB"/>
              <w14:ligatures w14:val="standardContextual"/>
            </w:rPr>
          </w:pPr>
          <w:hyperlink w:history="1" w:anchor="_Toc223413745">
            <w:r w:rsidRPr="000E0FE6">
              <w:rPr>
                <w:rStyle w:val="Hyperlink"/>
                <w:noProof/>
              </w:rPr>
              <w:t>5.3. Definition of performance targets and key data to measure inputs, outputs and outcomes</w:t>
            </w:r>
            <w:r>
              <w:rPr>
                <w:noProof/>
                <w:webHidden/>
              </w:rPr>
              <w:tab/>
            </w:r>
            <w:r>
              <w:rPr>
                <w:noProof/>
                <w:webHidden/>
              </w:rPr>
              <w:fldChar w:fldCharType="begin"/>
            </w:r>
            <w:r>
              <w:rPr>
                <w:noProof/>
                <w:webHidden/>
              </w:rPr>
              <w:instrText xml:space="preserve"> PAGEREF _Toc223413745 \h </w:instrText>
            </w:r>
            <w:r>
              <w:rPr>
                <w:noProof/>
                <w:webHidden/>
              </w:rPr>
            </w:r>
            <w:r>
              <w:rPr>
                <w:noProof/>
                <w:webHidden/>
              </w:rPr>
              <w:fldChar w:fldCharType="separate"/>
            </w:r>
            <w:r w:rsidR="00543B3D">
              <w:rPr>
                <w:noProof/>
                <w:webHidden/>
              </w:rPr>
              <w:t>83</w:t>
            </w:r>
            <w:r>
              <w:rPr>
                <w:noProof/>
                <w:webHidden/>
              </w:rPr>
              <w:fldChar w:fldCharType="end"/>
            </w:r>
          </w:hyperlink>
        </w:p>
        <w:p w:rsidR="0029466E" w:rsidRDefault="0029466E" w14:paraId="1B95C237" w14:textId="57FC445D">
          <w:pPr>
            <w:pStyle w:val="TOC1"/>
            <w:rPr>
              <w:rFonts w:asciiTheme="minorHAnsi" w:hAnsiTheme="minorHAnsi" w:eastAsiaTheme="minorEastAsia"/>
              <w:noProof/>
              <w:color w:val="auto"/>
              <w:kern w:val="2"/>
              <w:sz w:val="24"/>
              <w:szCs w:val="24"/>
              <w:lang w:eastAsia="en-GB"/>
              <w14:ligatures w14:val="standardContextual"/>
            </w:rPr>
          </w:pPr>
          <w:hyperlink w:history="1" w:anchor="_Toc223413746">
            <w:r w:rsidRPr="000E0FE6">
              <w:rPr>
                <w:rStyle w:val="Hyperlink"/>
                <w:noProof/>
              </w:rPr>
              <w:t>References</w:t>
            </w:r>
            <w:r>
              <w:rPr>
                <w:noProof/>
                <w:webHidden/>
              </w:rPr>
              <w:tab/>
            </w:r>
            <w:r>
              <w:rPr>
                <w:noProof/>
                <w:webHidden/>
              </w:rPr>
              <w:fldChar w:fldCharType="begin"/>
            </w:r>
            <w:r>
              <w:rPr>
                <w:noProof/>
                <w:webHidden/>
              </w:rPr>
              <w:instrText xml:space="preserve"> PAGEREF _Toc223413746 \h </w:instrText>
            </w:r>
            <w:r>
              <w:rPr>
                <w:noProof/>
                <w:webHidden/>
              </w:rPr>
            </w:r>
            <w:r>
              <w:rPr>
                <w:noProof/>
                <w:webHidden/>
              </w:rPr>
              <w:fldChar w:fldCharType="separate"/>
            </w:r>
            <w:r w:rsidR="00543B3D">
              <w:rPr>
                <w:noProof/>
                <w:webHidden/>
              </w:rPr>
              <w:t>89</w:t>
            </w:r>
            <w:r>
              <w:rPr>
                <w:noProof/>
                <w:webHidden/>
              </w:rPr>
              <w:fldChar w:fldCharType="end"/>
            </w:r>
          </w:hyperlink>
        </w:p>
        <w:p w:rsidRPr="003B7B31" w:rsidR="00D2597F" w:rsidRDefault="00D2597F" w14:paraId="5ABDB5E0" w14:textId="5B4884C8">
          <w:pPr>
            <w:pStyle w:val="Para0"/>
            <w:rPr>
              <w:b/>
              <w:lang w:val="en-US"/>
            </w:rPr>
          </w:pPr>
          <w:r w:rsidRPr="003B7B31">
            <w:rPr>
              <w:b/>
              <w:lang w:val="en-US"/>
            </w:rPr>
            <w:fldChar w:fldCharType="end"/>
          </w:r>
        </w:p>
        <w:p w:rsidRPr="003B7B31" w:rsidR="00D2597F" w:rsidRDefault="00D2597F" w14:paraId="3AF72D7D" w14:textId="77777777">
          <w:pPr>
            <w:pStyle w:val="Subtitle"/>
            <w:rPr>
              <w:noProof/>
              <w:lang w:val="en-US"/>
            </w:rPr>
          </w:pPr>
          <w:r w:rsidRPr="003B7B31">
            <w:rPr>
              <w:noProof/>
              <w:lang w:val="en-US"/>
            </w:rPr>
            <w:t>FIGURES</w:t>
          </w:r>
        </w:p>
        <w:p w:rsidR="0029466E" w:rsidRDefault="00D2597F" w14:paraId="3D7639F6" w14:textId="0134042D">
          <w:pPr>
            <w:pStyle w:val="TableofFigures"/>
            <w:rPr>
              <w:rFonts w:eastAsiaTheme="minorEastAsia"/>
              <w:noProof/>
              <w:color w:val="auto"/>
              <w:kern w:val="2"/>
              <w:sz w:val="24"/>
              <w:szCs w:val="24"/>
              <w:lang w:eastAsia="en-GB"/>
              <w14:ligatures w14:val="standardContextual"/>
            </w:rPr>
          </w:pPr>
          <w:r w:rsidRPr="003B7B31">
            <w:rPr>
              <w:b/>
              <w:lang w:val="en-US"/>
            </w:rPr>
            <w:fldChar w:fldCharType="begin"/>
          </w:r>
          <w:r w:rsidRPr="003B7B31">
            <w:rPr>
              <w:b/>
              <w:lang w:val="en-US"/>
            </w:rPr>
            <w:instrText xml:space="preserve"> TOC \h \z \c "Figure" </w:instrText>
          </w:r>
          <w:r w:rsidRPr="003B7B31">
            <w:rPr>
              <w:b/>
              <w:lang w:val="en-US"/>
            </w:rPr>
            <w:fldChar w:fldCharType="separate"/>
          </w:r>
          <w:hyperlink w:history="1" w:anchor="_Toc223413755">
            <w:r w:rsidRPr="003B7E34" w:rsidR="0029466E">
              <w:rPr>
                <w:rStyle w:val="Hyperlink"/>
                <w:noProof/>
              </w:rPr>
              <w:t>Figure 1.1. Measurement Framework for measuring satisfaction with public administrative services</w:t>
            </w:r>
            <w:r w:rsidR="0029466E">
              <w:rPr>
                <w:noProof/>
                <w:webHidden/>
              </w:rPr>
              <w:tab/>
            </w:r>
            <w:r w:rsidR="0029466E">
              <w:rPr>
                <w:noProof/>
                <w:webHidden/>
              </w:rPr>
              <w:fldChar w:fldCharType="begin"/>
            </w:r>
            <w:r w:rsidR="0029466E">
              <w:rPr>
                <w:noProof/>
                <w:webHidden/>
              </w:rPr>
              <w:instrText xml:space="preserve"> PAGEREF _Toc223413755 \h </w:instrText>
            </w:r>
            <w:r w:rsidR="0029466E">
              <w:rPr>
                <w:noProof/>
                <w:webHidden/>
              </w:rPr>
            </w:r>
            <w:r w:rsidR="0029466E">
              <w:rPr>
                <w:noProof/>
                <w:webHidden/>
              </w:rPr>
              <w:fldChar w:fldCharType="separate"/>
            </w:r>
            <w:r w:rsidR="00543B3D">
              <w:rPr>
                <w:noProof/>
                <w:webHidden/>
              </w:rPr>
              <w:t>6</w:t>
            </w:r>
            <w:r w:rsidR="0029466E">
              <w:rPr>
                <w:noProof/>
                <w:webHidden/>
              </w:rPr>
              <w:fldChar w:fldCharType="end"/>
            </w:r>
          </w:hyperlink>
        </w:p>
        <w:p w:rsidR="0029466E" w:rsidRDefault="0029466E" w14:paraId="7B9A5E44" w14:textId="267D7BF8">
          <w:pPr>
            <w:pStyle w:val="TableofFigures"/>
            <w:rPr>
              <w:rFonts w:eastAsiaTheme="minorEastAsia"/>
              <w:noProof/>
              <w:color w:val="auto"/>
              <w:kern w:val="2"/>
              <w:sz w:val="24"/>
              <w:szCs w:val="24"/>
              <w:lang w:eastAsia="en-GB"/>
              <w14:ligatures w14:val="standardContextual"/>
            </w:rPr>
          </w:pPr>
          <w:hyperlink w:history="1" w:anchor="_Toc223413756">
            <w:r w:rsidRPr="003B7E34">
              <w:rPr>
                <w:rStyle w:val="Hyperlink"/>
                <w:noProof/>
              </w:rPr>
              <w:t>Figure 1.2. Key drivers of citizen satisfaction with public services delivered through Life Events</w:t>
            </w:r>
            <w:r>
              <w:rPr>
                <w:noProof/>
                <w:webHidden/>
              </w:rPr>
              <w:tab/>
            </w:r>
            <w:r>
              <w:rPr>
                <w:noProof/>
                <w:webHidden/>
              </w:rPr>
              <w:fldChar w:fldCharType="begin"/>
            </w:r>
            <w:r>
              <w:rPr>
                <w:noProof/>
                <w:webHidden/>
              </w:rPr>
              <w:instrText xml:space="preserve"> PAGEREF _Toc223413756 \h </w:instrText>
            </w:r>
            <w:r>
              <w:rPr>
                <w:noProof/>
                <w:webHidden/>
              </w:rPr>
            </w:r>
            <w:r>
              <w:rPr>
                <w:noProof/>
                <w:webHidden/>
              </w:rPr>
              <w:fldChar w:fldCharType="separate"/>
            </w:r>
            <w:r w:rsidR="00543B3D">
              <w:rPr>
                <w:noProof/>
                <w:webHidden/>
              </w:rPr>
              <w:t>8</w:t>
            </w:r>
            <w:r>
              <w:rPr>
                <w:noProof/>
                <w:webHidden/>
              </w:rPr>
              <w:fldChar w:fldCharType="end"/>
            </w:r>
          </w:hyperlink>
        </w:p>
        <w:p w:rsidR="0029466E" w:rsidRDefault="0029466E" w14:paraId="6C1F56FA" w14:textId="06C6D32B">
          <w:pPr>
            <w:pStyle w:val="TableofFigures"/>
            <w:rPr>
              <w:rFonts w:eastAsiaTheme="minorEastAsia"/>
              <w:noProof/>
              <w:color w:val="auto"/>
              <w:kern w:val="2"/>
              <w:sz w:val="24"/>
              <w:szCs w:val="24"/>
              <w:lang w:eastAsia="en-GB"/>
              <w14:ligatures w14:val="standardContextual"/>
            </w:rPr>
          </w:pPr>
          <w:hyperlink w:history="1" w:anchor="_Toc223413757">
            <w:r w:rsidRPr="003B7E34">
              <w:rPr>
                <w:rStyle w:val="Hyperlink"/>
                <w:noProof/>
              </w:rPr>
              <w:t>Figure 1.3. Distribution of nine drivers by aspects of the User Journey</w:t>
            </w:r>
            <w:r>
              <w:rPr>
                <w:noProof/>
                <w:webHidden/>
              </w:rPr>
              <w:tab/>
            </w:r>
            <w:r>
              <w:rPr>
                <w:noProof/>
                <w:webHidden/>
              </w:rPr>
              <w:fldChar w:fldCharType="begin"/>
            </w:r>
            <w:r>
              <w:rPr>
                <w:noProof/>
                <w:webHidden/>
              </w:rPr>
              <w:instrText xml:space="preserve"> PAGEREF _Toc223413757 \h </w:instrText>
            </w:r>
            <w:r>
              <w:rPr>
                <w:noProof/>
                <w:webHidden/>
              </w:rPr>
            </w:r>
            <w:r>
              <w:rPr>
                <w:noProof/>
                <w:webHidden/>
              </w:rPr>
              <w:fldChar w:fldCharType="separate"/>
            </w:r>
            <w:r w:rsidR="00543B3D">
              <w:rPr>
                <w:noProof/>
                <w:webHidden/>
              </w:rPr>
              <w:t>9</w:t>
            </w:r>
            <w:r>
              <w:rPr>
                <w:noProof/>
                <w:webHidden/>
              </w:rPr>
              <w:fldChar w:fldCharType="end"/>
            </w:r>
          </w:hyperlink>
        </w:p>
        <w:p w:rsidR="0029466E" w:rsidRDefault="0029466E" w14:paraId="0958B3D4" w14:textId="5203C5A4">
          <w:pPr>
            <w:pStyle w:val="TableofFigures"/>
            <w:rPr>
              <w:rFonts w:eastAsiaTheme="minorEastAsia"/>
              <w:noProof/>
              <w:color w:val="auto"/>
              <w:kern w:val="2"/>
              <w:sz w:val="24"/>
              <w:szCs w:val="24"/>
              <w:lang w:eastAsia="en-GB"/>
              <w14:ligatures w14:val="standardContextual"/>
            </w:rPr>
          </w:pPr>
          <w:hyperlink w:history="1" w:anchor="_Toc223413758">
            <w:r w:rsidRPr="003B7E34">
              <w:rPr>
                <w:rStyle w:val="Hyperlink"/>
                <w:noProof/>
              </w:rPr>
              <w:t>Figure 2.1. Life Event Approaches in EU-10</w:t>
            </w:r>
            <w:r>
              <w:rPr>
                <w:noProof/>
                <w:webHidden/>
              </w:rPr>
              <w:tab/>
            </w:r>
            <w:r>
              <w:rPr>
                <w:noProof/>
                <w:webHidden/>
              </w:rPr>
              <w:fldChar w:fldCharType="begin"/>
            </w:r>
            <w:r>
              <w:rPr>
                <w:noProof/>
                <w:webHidden/>
              </w:rPr>
              <w:instrText xml:space="preserve"> PAGEREF _Toc223413758 \h </w:instrText>
            </w:r>
            <w:r>
              <w:rPr>
                <w:noProof/>
                <w:webHidden/>
              </w:rPr>
            </w:r>
            <w:r>
              <w:rPr>
                <w:noProof/>
                <w:webHidden/>
              </w:rPr>
              <w:fldChar w:fldCharType="separate"/>
            </w:r>
            <w:r w:rsidR="00543B3D">
              <w:rPr>
                <w:noProof/>
                <w:webHidden/>
              </w:rPr>
              <w:t>13</w:t>
            </w:r>
            <w:r>
              <w:rPr>
                <w:noProof/>
                <w:webHidden/>
              </w:rPr>
              <w:fldChar w:fldCharType="end"/>
            </w:r>
          </w:hyperlink>
        </w:p>
        <w:p w:rsidR="0029466E" w:rsidRDefault="0029466E" w14:paraId="2AF77AFF" w14:textId="2EBFFB3E">
          <w:pPr>
            <w:pStyle w:val="TableofFigures"/>
            <w:rPr>
              <w:rFonts w:eastAsiaTheme="minorEastAsia"/>
              <w:noProof/>
              <w:color w:val="auto"/>
              <w:kern w:val="2"/>
              <w:sz w:val="24"/>
              <w:szCs w:val="24"/>
              <w:lang w:eastAsia="en-GB"/>
              <w14:ligatures w14:val="standardContextual"/>
            </w:rPr>
          </w:pPr>
          <w:hyperlink w:history="1" w:anchor="_Toc223413759">
            <w:r w:rsidRPr="003B7E34">
              <w:rPr>
                <w:rStyle w:val="Hyperlink"/>
                <w:noProof/>
              </w:rPr>
              <w:t>Figure 2.2. Citizens accessed one or more Life Events over the previous 12 months, EU-10</w:t>
            </w:r>
            <w:r>
              <w:rPr>
                <w:noProof/>
                <w:webHidden/>
              </w:rPr>
              <w:tab/>
            </w:r>
            <w:r>
              <w:rPr>
                <w:noProof/>
                <w:webHidden/>
              </w:rPr>
              <w:fldChar w:fldCharType="begin"/>
            </w:r>
            <w:r>
              <w:rPr>
                <w:noProof/>
                <w:webHidden/>
              </w:rPr>
              <w:instrText xml:space="preserve"> PAGEREF _Toc223413759 \h </w:instrText>
            </w:r>
            <w:r>
              <w:rPr>
                <w:noProof/>
                <w:webHidden/>
              </w:rPr>
            </w:r>
            <w:r>
              <w:rPr>
                <w:noProof/>
                <w:webHidden/>
              </w:rPr>
              <w:fldChar w:fldCharType="separate"/>
            </w:r>
            <w:r w:rsidR="00543B3D">
              <w:rPr>
                <w:noProof/>
                <w:webHidden/>
              </w:rPr>
              <w:t>13</w:t>
            </w:r>
            <w:r>
              <w:rPr>
                <w:noProof/>
                <w:webHidden/>
              </w:rPr>
              <w:fldChar w:fldCharType="end"/>
            </w:r>
          </w:hyperlink>
        </w:p>
        <w:p w:rsidR="0029466E" w:rsidRDefault="0029466E" w14:paraId="73365E34" w14:textId="6F2783DF">
          <w:pPr>
            <w:pStyle w:val="TableofFigures"/>
            <w:rPr>
              <w:rFonts w:eastAsiaTheme="minorEastAsia"/>
              <w:noProof/>
              <w:color w:val="auto"/>
              <w:kern w:val="2"/>
              <w:sz w:val="24"/>
              <w:szCs w:val="24"/>
              <w:lang w:eastAsia="en-GB"/>
              <w14:ligatures w14:val="standardContextual"/>
            </w:rPr>
          </w:pPr>
          <w:hyperlink w:history="1" w:anchor="_Toc223413760">
            <w:r w:rsidRPr="003B7E34">
              <w:rPr>
                <w:rStyle w:val="Hyperlink"/>
                <w:noProof/>
              </w:rPr>
              <w:t>Figure 2.3. Overview of Life Events by age categories</w:t>
            </w:r>
            <w:r>
              <w:rPr>
                <w:noProof/>
                <w:webHidden/>
              </w:rPr>
              <w:tab/>
            </w:r>
            <w:r>
              <w:rPr>
                <w:noProof/>
                <w:webHidden/>
              </w:rPr>
              <w:fldChar w:fldCharType="begin"/>
            </w:r>
            <w:r>
              <w:rPr>
                <w:noProof/>
                <w:webHidden/>
              </w:rPr>
              <w:instrText xml:space="preserve"> PAGEREF _Toc223413760 \h </w:instrText>
            </w:r>
            <w:r>
              <w:rPr>
                <w:noProof/>
                <w:webHidden/>
              </w:rPr>
            </w:r>
            <w:r>
              <w:rPr>
                <w:noProof/>
                <w:webHidden/>
              </w:rPr>
              <w:fldChar w:fldCharType="separate"/>
            </w:r>
            <w:r w:rsidR="00543B3D">
              <w:rPr>
                <w:noProof/>
                <w:webHidden/>
              </w:rPr>
              <w:t>14</w:t>
            </w:r>
            <w:r>
              <w:rPr>
                <w:noProof/>
                <w:webHidden/>
              </w:rPr>
              <w:fldChar w:fldCharType="end"/>
            </w:r>
          </w:hyperlink>
        </w:p>
        <w:p w:rsidR="0029466E" w:rsidRDefault="0029466E" w14:paraId="07C8DB5E" w14:textId="0C321982">
          <w:pPr>
            <w:pStyle w:val="TableofFigures"/>
            <w:rPr>
              <w:rFonts w:eastAsiaTheme="minorEastAsia"/>
              <w:noProof/>
              <w:color w:val="auto"/>
              <w:kern w:val="2"/>
              <w:sz w:val="24"/>
              <w:szCs w:val="24"/>
              <w:lang w:eastAsia="en-GB"/>
              <w14:ligatures w14:val="standardContextual"/>
            </w:rPr>
          </w:pPr>
          <w:hyperlink w:history="1" w:anchor="_Toc223413761">
            <w:r w:rsidRPr="003B7E34">
              <w:rPr>
                <w:rStyle w:val="Hyperlink"/>
                <w:noProof/>
              </w:rPr>
              <w:t>Figure 2.4. Share of users accessing digital and physical channels when accessing public services associated with Life Events, EU-10</w:t>
            </w:r>
            <w:r>
              <w:rPr>
                <w:noProof/>
                <w:webHidden/>
              </w:rPr>
              <w:tab/>
            </w:r>
            <w:r>
              <w:rPr>
                <w:noProof/>
                <w:webHidden/>
              </w:rPr>
              <w:fldChar w:fldCharType="begin"/>
            </w:r>
            <w:r>
              <w:rPr>
                <w:noProof/>
                <w:webHidden/>
              </w:rPr>
              <w:instrText xml:space="preserve"> PAGEREF _Toc223413761 \h </w:instrText>
            </w:r>
            <w:r>
              <w:rPr>
                <w:noProof/>
                <w:webHidden/>
              </w:rPr>
            </w:r>
            <w:r>
              <w:rPr>
                <w:noProof/>
                <w:webHidden/>
              </w:rPr>
              <w:fldChar w:fldCharType="separate"/>
            </w:r>
            <w:r w:rsidR="00543B3D">
              <w:rPr>
                <w:noProof/>
                <w:webHidden/>
              </w:rPr>
              <w:t>27</w:t>
            </w:r>
            <w:r>
              <w:rPr>
                <w:noProof/>
                <w:webHidden/>
              </w:rPr>
              <w:fldChar w:fldCharType="end"/>
            </w:r>
          </w:hyperlink>
        </w:p>
        <w:p w:rsidR="0029466E" w:rsidRDefault="0029466E" w14:paraId="3F945CF8" w14:textId="750C6FD3">
          <w:pPr>
            <w:pStyle w:val="TableofFigures"/>
            <w:rPr>
              <w:rFonts w:eastAsiaTheme="minorEastAsia"/>
              <w:noProof/>
              <w:color w:val="auto"/>
              <w:kern w:val="2"/>
              <w:sz w:val="24"/>
              <w:szCs w:val="24"/>
              <w:lang w:eastAsia="en-GB"/>
              <w14:ligatures w14:val="standardContextual"/>
            </w:rPr>
          </w:pPr>
          <w:hyperlink w:history="1" w:anchor="_Toc223413762">
            <w:r w:rsidRPr="003B7E34">
              <w:rPr>
                <w:rStyle w:val="Hyperlink"/>
                <w:noProof/>
              </w:rPr>
              <w:t>Figure 2.5. Ease of using digital tool is highly associated with satisfaction for life events that are often experienced through online channels</w:t>
            </w:r>
            <w:r>
              <w:rPr>
                <w:noProof/>
                <w:webHidden/>
              </w:rPr>
              <w:tab/>
            </w:r>
            <w:r>
              <w:rPr>
                <w:noProof/>
                <w:webHidden/>
              </w:rPr>
              <w:fldChar w:fldCharType="begin"/>
            </w:r>
            <w:r>
              <w:rPr>
                <w:noProof/>
                <w:webHidden/>
              </w:rPr>
              <w:instrText xml:space="preserve"> PAGEREF _Toc223413762 \h </w:instrText>
            </w:r>
            <w:r>
              <w:rPr>
                <w:noProof/>
                <w:webHidden/>
              </w:rPr>
            </w:r>
            <w:r>
              <w:rPr>
                <w:noProof/>
                <w:webHidden/>
              </w:rPr>
              <w:fldChar w:fldCharType="separate"/>
            </w:r>
            <w:r w:rsidR="00543B3D">
              <w:rPr>
                <w:noProof/>
                <w:webHidden/>
              </w:rPr>
              <w:t>30</w:t>
            </w:r>
            <w:r>
              <w:rPr>
                <w:noProof/>
                <w:webHidden/>
              </w:rPr>
              <w:fldChar w:fldCharType="end"/>
            </w:r>
          </w:hyperlink>
        </w:p>
        <w:p w:rsidR="0029466E" w:rsidRDefault="0029466E" w14:paraId="39BF7C4C" w14:textId="7EA73AA6">
          <w:pPr>
            <w:pStyle w:val="TableofFigures"/>
            <w:rPr>
              <w:rFonts w:eastAsiaTheme="minorEastAsia"/>
              <w:noProof/>
              <w:color w:val="auto"/>
              <w:kern w:val="2"/>
              <w:sz w:val="24"/>
              <w:szCs w:val="24"/>
              <w:lang w:eastAsia="en-GB"/>
              <w14:ligatures w14:val="standardContextual"/>
            </w:rPr>
          </w:pPr>
          <w:hyperlink w:history="1" w:anchor="_Toc223413763">
            <w:r w:rsidRPr="003B7E34">
              <w:rPr>
                <w:rStyle w:val="Hyperlink"/>
                <w:noProof/>
              </w:rPr>
              <w:t>Figure 2.6. Interconnection between tools for Accessing Services</w:t>
            </w:r>
            <w:r>
              <w:rPr>
                <w:noProof/>
                <w:webHidden/>
              </w:rPr>
              <w:tab/>
            </w:r>
            <w:r>
              <w:rPr>
                <w:noProof/>
                <w:webHidden/>
              </w:rPr>
              <w:fldChar w:fldCharType="begin"/>
            </w:r>
            <w:r>
              <w:rPr>
                <w:noProof/>
                <w:webHidden/>
              </w:rPr>
              <w:instrText xml:space="preserve"> PAGEREF _Toc223413763 \h </w:instrText>
            </w:r>
            <w:r>
              <w:rPr>
                <w:noProof/>
                <w:webHidden/>
              </w:rPr>
            </w:r>
            <w:r>
              <w:rPr>
                <w:noProof/>
                <w:webHidden/>
              </w:rPr>
              <w:fldChar w:fldCharType="separate"/>
            </w:r>
            <w:r w:rsidR="00543B3D">
              <w:rPr>
                <w:noProof/>
                <w:webHidden/>
              </w:rPr>
              <w:t>32</w:t>
            </w:r>
            <w:r>
              <w:rPr>
                <w:noProof/>
                <w:webHidden/>
              </w:rPr>
              <w:fldChar w:fldCharType="end"/>
            </w:r>
          </w:hyperlink>
        </w:p>
        <w:p w:rsidR="0029466E" w:rsidRDefault="0029466E" w14:paraId="02104029" w14:textId="42E8467E">
          <w:pPr>
            <w:pStyle w:val="TableofFigures"/>
            <w:rPr>
              <w:rFonts w:eastAsiaTheme="minorEastAsia"/>
              <w:noProof/>
              <w:color w:val="auto"/>
              <w:kern w:val="2"/>
              <w:sz w:val="24"/>
              <w:szCs w:val="24"/>
              <w:lang w:eastAsia="en-GB"/>
              <w14:ligatures w14:val="standardContextual"/>
            </w:rPr>
          </w:pPr>
          <w:hyperlink w:history="1" w:anchor="_Toc223413764">
            <w:r w:rsidRPr="003B7E34">
              <w:rPr>
                <w:rStyle w:val="Hyperlink"/>
                <w:noProof/>
              </w:rPr>
              <w:t>Figure 3.1. User-facing services</w:t>
            </w:r>
            <w:r>
              <w:rPr>
                <w:noProof/>
                <w:webHidden/>
              </w:rPr>
              <w:tab/>
            </w:r>
            <w:r>
              <w:rPr>
                <w:noProof/>
                <w:webHidden/>
              </w:rPr>
              <w:fldChar w:fldCharType="begin"/>
            </w:r>
            <w:r>
              <w:rPr>
                <w:noProof/>
                <w:webHidden/>
              </w:rPr>
              <w:instrText xml:space="preserve"> PAGEREF _Toc223413764 \h </w:instrText>
            </w:r>
            <w:r>
              <w:rPr>
                <w:noProof/>
                <w:webHidden/>
              </w:rPr>
            </w:r>
            <w:r>
              <w:rPr>
                <w:noProof/>
                <w:webHidden/>
              </w:rPr>
              <w:fldChar w:fldCharType="separate"/>
            </w:r>
            <w:r w:rsidR="00543B3D">
              <w:rPr>
                <w:noProof/>
                <w:webHidden/>
              </w:rPr>
              <w:t>34</w:t>
            </w:r>
            <w:r>
              <w:rPr>
                <w:noProof/>
                <w:webHidden/>
              </w:rPr>
              <w:fldChar w:fldCharType="end"/>
            </w:r>
          </w:hyperlink>
        </w:p>
        <w:p w:rsidR="0029466E" w:rsidRDefault="0029466E" w14:paraId="447A227C" w14:textId="69D63991">
          <w:pPr>
            <w:pStyle w:val="TableofFigures"/>
            <w:rPr>
              <w:rFonts w:eastAsiaTheme="minorEastAsia"/>
              <w:noProof/>
              <w:color w:val="auto"/>
              <w:kern w:val="2"/>
              <w:sz w:val="24"/>
              <w:szCs w:val="24"/>
              <w:lang w:eastAsia="en-GB"/>
              <w14:ligatures w14:val="standardContextual"/>
            </w:rPr>
          </w:pPr>
          <w:hyperlink w:history="1" w:anchor="_Toc223413765">
            <w:r w:rsidRPr="003B7E34">
              <w:rPr>
                <w:rStyle w:val="Hyperlink"/>
                <w:noProof/>
              </w:rPr>
              <w:t>Figure </w:t>
            </w:r>
            <w:r w:rsidRPr="003B7E34">
              <w:rPr>
                <w:rStyle w:val="Hyperlink"/>
                <w:rFonts w:hint="eastAsia"/>
                <w:noProof/>
                <w:cs/>
              </w:rPr>
              <w:t>‎</w:t>
            </w:r>
            <w:r w:rsidRPr="003B7E34">
              <w:rPr>
                <w:rStyle w:val="Hyperlink"/>
                <w:noProof/>
              </w:rPr>
              <w:t>3.2. Distribution of service responsibility across levels of government in the EU-10</w:t>
            </w:r>
            <w:r>
              <w:rPr>
                <w:noProof/>
                <w:webHidden/>
              </w:rPr>
              <w:tab/>
            </w:r>
            <w:r>
              <w:rPr>
                <w:noProof/>
                <w:webHidden/>
              </w:rPr>
              <w:fldChar w:fldCharType="begin"/>
            </w:r>
            <w:r>
              <w:rPr>
                <w:noProof/>
                <w:webHidden/>
              </w:rPr>
              <w:instrText xml:space="preserve"> PAGEREF _Toc223413765 \h </w:instrText>
            </w:r>
            <w:r>
              <w:rPr>
                <w:noProof/>
                <w:webHidden/>
              </w:rPr>
            </w:r>
            <w:r>
              <w:rPr>
                <w:noProof/>
                <w:webHidden/>
              </w:rPr>
              <w:fldChar w:fldCharType="separate"/>
            </w:r>
            <w:r w:rsidR="00543B3D">
              <w:rPr>
                <w:noProof/>
                <w:webHidden/>
              </w:rPr>
              <w:t>40</w:t>
            </w:r>
            <w:r>
              <w:rPr>
                <w:noProof/>
                <w:webHidden/>
              </w:rPr>
              <w:fldChar w:fldCharType="end"/>
            </w:r>
          </w:hyperlink>
        </w:p>
        <w:p w:rsidR="0029466E" w:rsidRDefault="0029466E" w14:paraId="1C89D4BB" w14:textId="641ABA27">
          <w:pPr>
            <w:pStyle w:val="TableofFigures"/>
            <w:rPr>
              <w:rFonts w:eastAsiaTheme="minorEastAsia"/>
              <w:noProof/>
              <w:color w:val="auto"/>
              <w:kern w:val="2"/>
              <w:sz w:val="24"/>
              <w:szCs w:val="24"/>
              <w:lang w:eastAsia="en-GB"/>
              <w14:ligatures w14:val="standardContextual"/>
            </w:rPr>
          </w:pPr>
          <w:hyperlink w:history="1" w:anchor="_Toc223413766">
            <w:r w:rsidRPr="003B7E34">
              <w:rPr>
                <w:rStyle w:val="Hyperlink"/>
                <w:noProof/>
              </w:rPr>
              <w:t xml:space="preserve">Figure 3.3. </w:t>
            </w:r>
            <w:r w:rsidRPr="003B7E34">
              <w:rPr>
                <w:rStyle w:val="Hyperlink"/>
                <w:bCs/>
                <w:noProof/>
                <w:lang w:val="en-US"/>
              </w:rPr>
              <w:t>When user’s needs are resolved with only one interaction, user satisfaction is 20 percentage points higher</w:t>
            </w:r>
            <w:r>
              <w:rPr>
                <w:noProof/>
                <w:webHidden/>
              </w:rPr>
              <w:tab/>
            </w:r>
            <w:r>
              <w:rPr>
                <w:noProof/>
                <w:webHidden/>
              </w:rPr>
              <w:fldChar w:fldCharType="begin"/>
            </w:r>
            <w:r>
              <w:rPr>
                <w:noProof/>
                <w:webHidden/>
              </w:rPr>
              <w:instrText xml:space="preserve"> PAGEREF _Toc223413766 \h </w:instrText>
            </w:r>
            <w:r>
              <w:rPr>
                <w:noProof/>
                <w:webHidden/>
              </w:rPr>
            </w:r>
            <w:r>
              <w:rPr>
                <w:noProof/>
                <w:webHidden/>
              </w:rPr>
              <w:fldChar w:fldCharType="separate"/>
            </w:r>
            <w:r w:rsidR="00543B3D">
              <w:rPr>
                <w:noProof/>
                <w:webHidden/>
              </w:rPr>
              <w:t>42</w:t>
            </w:r>
            <w:r>
              <w:rPr>
                <w:noProof/>
                <w:webHidden/>
              </w:rPr>
              <w:fldChar w:fldCharType="end"/>
            </w:r>
          </w:hyperlink>
        </w:p>
        <w:p w:rsidR="0029466E" w:rsidRDefault="0029466E" w14:paraId="6EB2C0B4" w14:textId="5591245B">
          <w:pPr>
            <w:pStyle w:val="TableofFigures"/>
            <w:rPr>
              <w:rFonts w:eastAsiaTheme="minorEastAsia"/>
              <w:noProof/>
              <w:color w:val="auto"/>
              <w:kern w:val="2"/>
              <w:sz w:val="24"/>
              <w:szCs w:val="24"/>
              <w:lang w:eastAsia="en-GB"/>
              <w14:ligatures w14:val="standardContextual"/>
            </w:rPr>
          </w:pPr>
          <w:hyperlink w:history="1" w:anchor="_Toc223413767">
            <w:r w:rsidRPr="003B7E34">
              <w:rPr>
                <w:rStyle w:val="Hyperlink"/>
                <w:noProof/>
              </w:rPr>
              <w:t>Figure </w:t>
            </w:r>
            <w:r w:rsidRPr="003B7E34">
              <w:rPr>
                <w:rStyle w:val="Hyperlink"/>
                <w:rFonts w:hint="eastAsia"/>
                <w:noProof/>
                <w:cs/>
              </w:rPr>
              <w:t>‎</w:t>
            </w:r>
            <w:r w:rsidRPr="003B7E34">
              <w:rPr>
                <w:rStyle w:val="Hyperlink"/>
                <w:noProof/>
              </w:rPr>
              <w:t>3.4. 6 EU-10 countries leverage a body/committee for public service improvement</w:t>
            </w:r>
            <w:r>
              <w:rPr>
                <w:noProof/>
                <w:webHidden/>
              </w:rPr>
              <w:tab/>
            </w:r>
            <w:r>
              <w:rPr>
                <w:noProof/>
                <w:webHidden/>
              </w:rPr>
              <w:fldChar w:fldCharType="begin"/>
            </w:r>
            <w:r>
              <w:rPr>
                <w:noProof/>
                <w:webHidden/>
              </w:rPr>
              <w:instrText xml:space="preserve"> PAGEREF _Toc223413767 \h </w:instrText>
            </w:r>
            <w:r>
              <w:rPr>
                <w:noProof/>
                <w:webHidden/>
              </w:rPr>
            </w:r>
            <w:r>
              <w:rPr>
                <w:noProof/>
                <w:webHidden/>
              </w:rPr>
              <w:fldChar w:fldCharType="separate"/>
            </w:r>
            <w:r w:rsidR="00543B3D">
              <w:rPr>
                <w:noProof/>
                <w:webHidden/>
              </w:rPr>
              <w:t>42</w:t>
            </w:r>
            <w:r>
              <w:rPr>
                <w:noProof/>
                <w:webHidden/>
              </w:rPr>
              <w:fldChar w:fldCharType="end"/>
            </w:r>
          </w:hyperlink>
        </w:p>
        <w:p w:rsidR="0029466E" w:rsidRDefault="0029466E" w14:paraId="5A97B120" w14:textId="190F6791">
          <w:pPr>
            <w:pStyle w:val="TableofFigures"/>
            <w:rPr>
              <w:rFonts w:eastAsiaTheme="minorEastAsia"/>
              <w:noProof/>
              <w:color w:val="auto"/>
              <w:kern w:val="2"/>
              <w:sz w:val="24"/>
              <w:szCs w:val="24"/>
              <w:lang w:eastAsia="en-GB"/>
              <w14:ligatures w14:val="standardContextual"/>
            </w:rPr>
          </w:pPr>
          <w:hyperlink w:history="1" w:anchor="_Toc223413768">
            <w:r w:rsidRPr="003B7E34">
              <w:rPr>
                <w:rStyle w:val="Hyperlink"/>
                <w:noProof/>
              </w:rPr>
              <w:t>Figure 3.5. A variation exists in the need to use more than one channel to progress with an application, depending on the Life Event</w:t>
            </w:r>
            <w:r>
              <w:rPr>
                <w:noProof/>
                <w:webHidden/>
              </w:rPr>
              <w:tab/>
            </w:r>
            <w:r>
              <w:rPr>
                <w:noProof/>
                <w:webHidden/>
              </w:rPr>
              <w:fldChar w:fldCharType="begin"/>
            </w:r>
            <w:r>
              <w:rPr>
                <w:noProof/>
                <w:webHidden/>
              </w:rPr>
              <w:instrText xml:space="preserve"> PAGEREF _Toc223413768 \h </w:instrText>
            </w:r>
            <w:r>
              <w:rPr>
                <w:noProof/>
                <w:webHidden/>
              </w:rPr>
            </w:r>
            <w:r>
              <w:rPr>
                <w:noProof/>
                <w:webHidden/>
              </w:rPr>
              <w:fldChar w:fldCharType="separate"/>
            </w:r>
            <w:r w:rsidR="00543B3D">
              <w:rPr>
                <w:noProof/>
                <w:webHidden/>
              </w:rPr>
              <w:t>52</w:t>
            </w:r>
            <w:r>
              <w:rPr>
                <w:noProof/>
                <w:webHidden/>
              </w:rPr>
              <w:fldChar w:fldCharType="end"/>
            </w:r>
          </w:hyperlink>
        </w:p>
        <w:p w:rsidR="0029466E" w:rsidRDefault="0029466E" w14:paraId="0872FCA8" w14:textId="7C4A0DF4">
          <w:pPr>
            <w:pStyle w:val="TableofFigures"/>
            <w:rPr>
              <w:rFonts w:eastAsiaTheme="minorEastAsia"/>
              <w:noProof/>
              <w:color w:val="auto"/>
              <w:kern w:val="2"/>
              <w:sz w:val="24"/>
              <w:szCs w:val="24"/>
              <w:lang w:eastAsia="en-GB"/>
              <w14:ligatures w14:val="standardContextual"/>
            </w:rPr>
          </w:pPr>
          <w:hyperlink w:history="1" w:anchor="_Toc223413769">
            <w:r w:rsidRPr="003B7E34">
              <w:rPr>
                <w:rStyle w:val="Hyperlink"/>
                <w:noProof/>
              </w:rPr>
              <w:t>Figure 3.6. Contacting different public services to progress with a user’s application varies across Life Events</w:t>
            </w:r>
            <w:r>
              <w:rPr>
                <w:noProof/>
                <w:webHidden/>
              </w:rPr>
              <w:tab/>
            </w:r>
            <w:r>
              <w:rPr>
                <w:noProof/>
                <w:webHidden/>
              </w:rPr>
              <w:fldChar w:fldCharType="begin"/>
            </w:r>
            <w:r>
              <w:rPr>
                <w:noProof/>
                <w:webHidden/>
              </w:rPr>
              <w:instrText xml:space="preserve"> PAGEREF _Toc223413769 \h </w:instrText>
            </w:r>
            <w:r>
              <w:rPr>
                <w:noProof/>
                <w:webHidden/>
              </w:rPr>
            </w:r>
            <w:r>
              <w:rPr>
                <w:noProof/>
                <w:webHidden/>
              </w:rPr>
              <w:fldChar w:fldCharType="separate"/>
            </w:r>
            <w:r w:rsidR="00543B3D">
              <w:rPr>
                <w:noProof/>
                <w:webHidden/>
              </w:rPr>
              <w:t>53</w:t>
            </w:r>
            <w:r>
              <w:rPr>
                <w:noProof/>
                <w:webHidden/>
              </w:rPr>
              <w:fldChar w:fldCharType="end"/>
            </w:r>
          </w:hyperlink>
        </w:p>
        <w:p w:rsidR="0029466E" w:rsidRDefault="0029466E" w14:paraId="3E537F50" w14:textId="48BF5E15">
          <w:pPr>
            <w:pStyle w:val="TableofFigures"/>
            <w:rPr>
              <w:rFonts w:eastAsiaTheme="minorEastAsia"/>
              <w:noProof/>
              <w:color w:val="auto"/>
              <w:kern w:val="2"/>
              <w:sz w:val="24"/>
              <w:szCs w:val="24"/>
              <w:lang w:eastAsia="en-GB"/>
              <w14:ligatures w14:val="standardContextual"/>
            </w:rPr>
          </w:pPr>
          <w:hyperlink w:history="1" w:anchor="_Toc223413770">
            <w:r w:rsidRPr="003B7E34">
              <w:rPr>
                <w:rStyle w:val="Hyperlink"/>
                <w:noProof/>
              </w:rPr>
              <w:t>Figure 3.7. Tools for Navigating Services</w:t>
            </w:r>
            <w:r>
              <w:rPr>
                <w:noProof/>
                <w:webHidden/>
              </w:rPr>
              <w:tab/>
            </w:r>
            <w:r>
              <w:rPr>
                <w:noProof/>
                <w:webHidden/>
              </w:rPr>
              <w:fldChar w:fldCharType="begin"/>
            </w:r>
            <w:r>
              <w:rPr>
                <w:noProof/>
                <w:webHidden/>
              </w:rPr>
              <w:instrText xml:space="preserve"> PAGEREF _Toc223413770 \h </w:instrText>
            </w:r>
            <w:r>
              <w:rPr>
                <w:noProof/>
                <w:webHidden/>
              </w:rPr>
            </w:r>
            <w:r>
              <w:rPr>
                <w:noProof/>
                <w:webHidden/>
              </w:rPr>
              <w:fldChar w:fldCharType="separate"/>
            </w:r>
            <w:r w:rsidR="00543B3D">
              <w:rPr>
                <w:noProof/>
                <w:webHidden/>
              </w:rPr>
              <w:t>57</w:t>
            </w:r>
            <w:r>
              <w:rPr>
                <w:noProof/>
                <w:webHidden/>
              </w:rPr>
              <w:fldChar w:fldCharType="end"/>
            </w:r>
          </w:hyperlink>
        </w:p>
        <w:p w:rsidR="0029466E" w:rsidRDefault="0029466E" w14:paraId="24480871" w14:textId="5918D6A2">
          <w:pPr>
            <w:pStyle w:val="TableofFigures"/>
            <w:rPr>
              <w:rFonts w:eastAsiaTheme="minorEastAsia"/>
              <w:noProof/>
              <w:color w:val="auto"/>
              <w:kern w:val="2"/>
              <w:sz w:val="24"/>
              <w:szCs w:val="24"/>
              <w:lang w:eastAsia="en-GB"/>
              <w14:ligatures w14:val="standardContextual"/>
            </w:rPr>
          </w:pPr>
          <w:hyperlink w:history="1" w:anchor="_Toc223413771">
            <w:r w:rsidRPr="003B7E34">
              <w:rPr>
                <w:rStyle w:val="Hyperlink"/>
                <w:noProof/>
              </w:rPr>
              <w:t>Figure 4.1. Contribution of other drivers of satisfaction to the speed of obtaining the service</w:t>
            </w:r>
            <w:r>
              <w:rPr>
                <w:noProof/>
                <w:webHidden/>
              </w:rPr>
              <w:tab/>
            </w:r>
            <w:r>
              <w:rPr>
                <w:noProof/>
                <w:webHidden/>
              </w:rPr>
              <w:fldChar w:fldCharType="begin"/>
            </w:r>
            <w:r>
              <w:rPr>
                <w:noProof/>
                <w:webHidden/>
              </w:rPr>
              <w:instrText xml:space="preserve"> PAGEREF _Toc223413771 \h </w:instrText>
            </w:r>
            <w:r>
              <w:rPr>
                <w:noProof/>
                <w:webHidden/>
              </w:rPr>
            </w:r>
            <w:r>
              <w:rPr>
                <w:noProof/>
                <w:webHidden/>
              </w:rPr>
              <w:fldChar w:fldCharType="separate"/>
            </w:r>
            <w:r w:rsidR="00543B3D">
              <w:rPr>
                <w:noProof/>
                <w:webHidden/>
              </w:rPr>
              <w:t>69</w:t>
            </w:r>
            <w:r>
              <w:rPr>
                <w:noProof/>
                <w:webHidden/>
              </w:rPr>
              <w:fldChar w:fldCharType="end"/>
            </w:r>
          </w:hyperlink>
        </w:p>
        <w:p w:rsidR="0029466E" w:rsidRDefault="0029466E" w14:paraId="7A788B7F" w14:textId="72A212C6">
          <w:pPr>
            <w:pStyle w:val="TableofFigures"/>
            <w:rPr>
              <w:rFonts w:eastAsiaTheme="minorEastAsia"/>
              <w:noProof/>
              <w:color w:val="auto"/>
              <w:kern w:val="2"/>
              <w:sz w:val="24"/>
              <w:szCs w:val="24"/>
              <w:lang w:eastAsia="en-GB"/>
              <w14:ligatures w14:val="standardContextual"/>
            </w:rPr>
          </w:pPr>
          <w:hyperlink w:history="1" w:anchor="_Toc223413772">
            <w:r w:rsidRPr="003B7E34">
              <w:rPr>
                <w:rStyle w:val="Hyperlink"/>
                <w:noProof/>
              </w:rPr>
              <w:t>Figure </w:t>
            </w:r>
            <w:r w:rsidRPr="003B7E34">
              <w:rPr>
                <w:rStyle w:val="Hyperlink"/>
                <w:rFonts w:hint="eastAsia"/>
                <w:noProof/>
                <w:cs/>
              </w:rPr>
              <w:t>‎</w:t>
            </w:r>
            <w:r w:rsidRPr="003B7E34">
              <w:rPr>
                <w:rStyle w:val="Hyperlink"/>
                <w:noProof/>
              </w:rPr>
              <w:t>4.2. Aspects included in service strategy, Serving Citizens 2024</w:t>
            </w:r>
            <w:r>
              <w:rPr>
                <w:noProof/>
                <w:webHidden/>
              </w:rPr>
              <w:tab/>
            </w:r>
            <w:r>
              <w:rPr>
                <w:noProof/>
                <w:webHidden/>
              </w:rPr>
              <w:fldChar w:fldCharType="begin"/>
            </w:r>
            <w:r>
              <w:rPr>
                <w:noProof/>
                <w:webHidden/>
              </w:rPr>
              <w:instrText xml:space="preserve"> PAGEREF _Toc223413772 \h </w:instrText>
            </w:r>
            <w:r>
              <w:rPr>
                <w:noProof/>
                <w:webHidden/>
              </w:rPr>
            </w:r>
            <w:r>
              <w:rPr>
                <w:noProof/>
                <w:webHidden/>
              </w:rPr>
              <w:fldChar w:fldCharType="separate"/>
            </w:r>
            <w:r w:rsidR="00543B3D">
              <w:rPr>
                <w:noProof/>
                <w:webHidden/>
              </w:rPr>
              <w:t>72</w:t>
            </w:r>
            <w:r>
              <w:rPr>
                <w:noProof/>
                <w:webHidden/>
              </w:rPr>
              <w:fldChar w:fldCharType="end"/>
            </w:r>
          </w:hyperlink>
        </w:p>
        <w:p w:rsidR="0029466E" w:rsidRDefault="0029466E" w14:paraId="7D8C8D08" w14:textId="664580DB">
          <w:pPr>
            <w:pStyle w:val="TableofFigures"/>
            <w:rPr>
              <w:rFonts w:eastAsiaTheme="minorEastAsia"/>
              <w:noProof/>
              <w:color w:val="auto"/>
              <w:kern w:val="2"/>
              <w:sz w:val="24"/>
              <w:szCs w:val="24"/>
              <w:lang w:eastAsia="en-GB"/>
              <w14:ligatures w14:val="standardContextual"/>
            </w:rPr>
          </w:pPr>
          <w:hyperlink w:history="1" w:anchor="_Toc223413773">
            <w:r w:rsidRPr="003B7E34">
              <w:rPr>
                <w:rStyle w:val="Hyperlink"/>
                <w:noProof/>
              </w:rPr>
              <w:t>Figure 4.3. 69% of users across EU10 agree that they received clear information about why decision was made</w:t>
            </w:r>
            <w:r>
              <w:rPr>
                <w:noProof/>
                <w:webHidden/>
              </w:rPr>
              <w:tab/>
            </w:r>
            <w:r>
              <w:rPr>
                <w:noProof/>
                <w:webHidden/>
              </w:rPr>
              <w:fldChar w:fldCharType="begin"/>
            </w:r>
            <w:r>
              <w:rPr>
                <w:noProof/>
                <w:webHidden/>
              </w:rPr>
              <w:instrText xml:space="preserve"> PAGEREF _Toc223413773 \h </w:instrText>
            </w:r>
            <w:r>
              <w:rPr>
                <w:noProof/>
                <w:webHidden/>
              </w:rPr>
            </w:r>
            <w:r>
              <w:rPr>
                <w:noProof/>
                <w:webHidden/>
              </w:rPr>
              <w:fldChar w:fldCharType="separate"/>
            </w:r>
            <w:r w:rsidR="00543B3D">
              <w:rPr>
                <w:noProof/>
                <w:webHidden/>
              </w:rPr>
              <w:t>73</w:t>
            </w:r>
            <w:r>
              <w:rPr>
                <w:noProof/>
                <w:webHidden/>
              </w:rPr>
              <w:fldChar w:fldCharType="end"/>
            </w:r>
          </w:hyperlink>
        </w:p>
        <w:p w:rsidR="0029466E" w:rsidRDefault="0029466E" w14:paraId="140B5C87" w14:textId="5F09CF82">
          <w:pPr>
            <w:pStyle w:val="TableofFigures"/>
            <w:rPr>
              <w:rFonts w:eastAsiaTheme="minorEastAsia"/>
              <w:noProof/>
              <w:color w:val="auto"/>
              <w:kern w:val="2"/>
              <w:sz w:val="24"/>
              <w:szCs w:val="24"/>
              <w:lang w:eastAsia="en-GB"/>
              <w14:ligatures w14:val="standardContextual"/>
            </w:rPr>
          </w:pPr>
          <w:hyperlink w:history="1" w:anchor="_Toc223413774">
            <w:r w:rsidRPr="003B7E34">
              <w:rPr>
                <w:rStyle w:val="Hyperlink"/>
                <w:noProof/>
              </w:rPr>
              <w:t>Figure 4.4. Grouping of tools to support achieving results</w:t>
            </w:r>
            <w:r>
              <w:rPr>
                <w:noProof/>
                <w:webHidden/>
              </w:rPr>
              <w:tab/>
            </w:r>
            <w:r>
              <w:rPr>
                <w:noProof/>
                <w:webHidden/>
              </w:rPr>
              <w:fldChar w:fldCharType="begin"/>
            </w:r>
            <w:r>
              <w:rPr>
                <w:noProof/>
                <w:webHidden/>
              </w:rPr>
              <w:instrText xml:space="preserve"> PAGEREF _Toc223413774 \h </w:instrText>
            </w:r>
            <w:r>
              <w:rPr>
                <w:noProof/>
                <w:webHidden/>
              </w:rPr>
            </w:r>
            <w:r>
              <w:rPr>
                <w:noProof/>
                <w:webHidden/>
              </w:rPr>
              <w:fldChar w:fldCharType="separate"/>
            </w:r>
            <w:r w:rsidR="00543B3D">
              <w:rPr>
                <w:noProof/>
                <w:webHidden/>
              </w:rPr>
              <w:t>76</w:t>
            </w:r>
            <w:r>
              <w:rPr>
                <w:noProof/>
                <w:webHidden/>
              </w:rPr>
              <w:fldChar w:fldCharType="end"/>
            </w:r>
          </w:hyperlink>
        </w:p>
        <w:p w:rsidR="0029466E" w:rsidRDefault="0029466E" w14:paraId="12E95AD2" w14:textId="12D5849D">
          <w:pPr>
            <w:pStyle w:val="TableofFigures"/>
            <w:rPr>
              <w:rFonts w:eastAsiaTheme="minorEastAsia"/>
              <w:noProof/>
              <w:color w:val="auto"/>
              <w:kern w:val="2"/>
              <w:sz w:val="24"/>
              <w:szCs w:val="24"/>
              <w:lang w:eastAsia="en-GB"/>
              <w14:ligatures w14:val="standardContextual"/>
            </w:rPr>
          </w:pPr>
          <w:hyperlink w:history="1" w:anchor="_Toc223413775">
            <w:r w:rsidRPr="003B7E34">
              <w:rPr>
                <w:rStyle w:val="Hyperlink"/>
                <w:noProof/>
              </w:rPr>
              <w:t>Figure </w:t>
            </w:r>
            <w:r w:rsidRPr="003B7E34">
              <w:rPr>
                <w:rStyle w:val="Hyperlink"/>
                <w:rFonts w:hint="eastAsia"/>
                <w:noProof/>
                <w:cs/>
              </w:rPr>
              <w:t>‎</w:t>
            </w:r>
            <w:r w:rsidRPr="003B7E34">
              <w:rPr>
                <w:rStyle w:val="Hyperlink"/>
                <w:noProof/>
              </w:rPr>
              <w:t>5.1. Existence of user satisfaction survey, Serving Citizens 2024</w:t>
            </w:r>
            <w:r>
              <w:rPr>
                <w:noProof/>
                <w:webHidden/>
              </w:rPr>
              <w:tab/>
            </w:r>
            <w:r>
              <w:rPr>
                <w:noProof/>
                <w:webHidden/>
              </w:rPr>
              <w:fldChar w:fldCharType="begin"/>
            </w:r>
            <w:r>
              <w:rPr>
                <w:noProof/>
                <w:webHidden/>
              </w:rPr>
              <w:instrText xml:space="preserve"> PAGEREF _Toc223413775 \h </w:instrText>
            </w:r>
            <w:r>
              <w:rPr>
                <w:noProof/>
                <w:webHidden/>
              </w:rPr>
            </w:r>
            <w:r>
              <w:rPr>
                <w:noProof/>
                <w:webHidden/>
              </w:rPr>
              <w:fldChar w:fldCharType="separate"/>
            </w:r>
            <w:r w:rsidR="00543B3D">
              <w:rPr>
                <w:noProof/>
                <w:webHidden/>
              </w:rPr>
              <w:t>78</w:t>
            </w:r>
            <w:r>
              <w:rPr>
                <w:noProof/>
                <w:webHidden/>
              </w:rPr>
              <w:fldChar w:fldCharType="end"/>
            </w:r>
          </w:hyperlink>
        </w:p>
        <w:p w:rsidR="0029466E" w:rsidRDefault="0029466E" w14:paraId="1D4DF179" w14:textId="422EB00B">
          <w:pPr>
            <w:pStyle w:val="TableofFigures"/>
            <w:rPr>
              <w:rFonts w:eastAsiaTheme="minorEastAsia"/>
              <w:noProof/>
              <w:color w:val="auto"/>
              <w:kern w:val="2"/>
              <w:sz w:val="24"/>
              <w:szCs w:val="24"/>
              <w:lang w:eastAsia="en-GB"/>
              <w14:ligatures w14:val="standardContextual"/>
            </w:rPr>
          </w:pPr>
          <w:hyperlink w:history="1" w:anchor="_Toc223413776">
            <w:r w:rsidRPr="003B7E34">
              <w:rPr>
                <w:rStyle w:val="Hyperlink"/>
                <w:noProof/>
              </w:rPr>
              <w:t>Figure 5.2. Existence of user satisfaction surveys by service, Serving Citizens 2025</w:t>
            </w:r>
            <w:r>
              <w:rPr>
                <w:noProof/>
                <w:webHidden/>
              </w:rPr>
              <w:tab/>
            </w:r>
            <w:r>
              <w:rPr>
                <w:noProof/>
                <w:webHidden/>
              </w:rPr>
              <w:fldChar w:fldCharType="begin"/>
            </w:r>
            <w:r>
              <w:rPr>
                <w:noProof/>
                <w:webHidden/>
              </w:rPr>
              <w:instrText xml:space="preserve"> PAGEREF _Toc223413776 \h </w:instrText>
            </w:r>
            <w:r>
              <w:rPr>
                <w:noProof/>
                <w:webHidden/>
              </w:rPr>
            </w:r>
            <w:r>
              <w:rPr>
                <w:noProof/>
                <w:webHidden/>
              </w:rPr>
              <w:fldChar w:fldCharType="separate"/>
            </w:r>
            <w:r w:rsidR="00543B3D">
              <w:rPr>
                <w:noProof/>
                <w:webHidden/>
              </w:rPr>
              <w:t>79</w:t>
            </w:r>
            <w:r>
              <w:rPr>
                <w:noProof/>
                <w:webHidden/>
              </w:rPr>
              <w:fldChar w:fldCharType="end"/>
            </w:r>
          </w:hyperlink>
        </w:p>
        <w:p w:rsidR="0029466E" w:rsidRDefault="0029466E" w14:paraId="523577DD" w14:textId="551F93B2">
          <w:pPr>
            <w:pStyle w:val="TableofFigures"/>
            <w:rPr>
              <w:rFonts w:eastAsiaTheme="minorEastAsia"/>
              <w:noProof/>
              <w:color w:val="auto"/>
              <w:kern w:val="2"/>
              <w:sz w:val="24"/>
              <w:szCs w:val="24"/>
              <w:lang w:eastAsia="en-GB"/>
              <w14:ligatures w14:val="standardContextual"/>
            </w:rPr>
          </w:pPr>
          <w:hyperlink w:history="1" w:anchor="_Toc223413777">
            <w:r w:rsidRPr="003B7E34">
              <w:rPr>
                <w:rStyle w:val="Hyperlink"/>
                <w:noProof/>
              </w:rPr>
              <w:t>Figure 5.3. Demographics collected in national user experience survey, Serving Citizens 2024</w:t>
            </w:r>
            <w:r>
              <w:rPr>
                <w:noProof/>
                <w:webHidden/>
              </w:rPr>
              <w:tab/>
            </w:r>
            <w:r>
              <w:rPr>
                <w:noProof/>
                <w:webHidden/>
              </w:rPr>
              <w:fldChar w:fldCharType="begin"/>
            </w:r>
            <w:r>
              <w:rPr>
                <w:noProof/>
                <w:webHidden/>
              </w:rPr>
              <w:instrText xml:space="preserve"> PAGEREF _Toc223413777 \h </w:instrText>
            </w:r>
            <w:r>
              <w:rPr>
                <w:noProof/>
                <w:webHidden/>
              </w:rPr>
            </w:r>
            <w:r>
              <w:rPr>
                <w:noProof/>
                <w:webHidden/>
              </w:rPr>
              <w:fldChar w:fldCharType="separate"/>
            </w:r>
            <w:r w:rsidR="00543B3D">
              <w:rPr>
                <w:noProof/>
                <w:webHidden/>
              </w:rPr>
              <w:t>80</w:t>
            </w:r>
            <w:r>
              <w:rPr>
                <w:noProof/>
                <w:webHidden/>
              </w:rPr>
              <w:fldChar w:fldCharType="end"/>
            </w:r>
          </w:hyperlink>
        </w:p>
        <w:p w:rsidR="0029466E" w:rsidRDefault="0029466E" w14:paraId="68442902" w14:textId="2CE72F0A">
          <w:pPr>
            <w:pStyle w:val="TableofFigures"/>
            <w:rPr>
              <w:rFonts w:eastAsiaTheme="minorEastAsia"/>
              <w:noProof/>
              <w:color w:val="auto"/>
              <w:kern w:val="2"/>
              <w:sz w:val="24"/>
              <w:szCs w:val="24"/>
              <w:lang w:eastAsia="en-GB"/>
              <w14:ligatures w14:val="standardContextual"/>
            </w:rPr>
          </w:pPr>
          <w:hyperlink w:history="1" w:anchor="_Toc223413778">
            <w:r w:rsidRPr="003B7E34">
              <w:rPr>
                <w:rStyle w:val="Hyperlink"/>
                <w:noProof/>
              </w:rPr>
              <w:t xml:space="preserve">Figure 5.4. </w:t>
            </w:r>
            <w:r w:rsidRPr="003B7E34">
              <w:rPr>
                <w:rStyle w:val="Hyperlink"/>
                <w:noProof/>
                <w:lang w:val="en-US"/>
              </w:rPr>
              <w:t>User satisfaction data publication, Serving Citizens 2024</w:t>
            </w:r>
            <w:r>
              <w:rPr>
                <w:noProof/>
                <w:webHidden/>
              </w:rPr>
              <w:tab/>
            </w:r>
            <w:r>
              <w:rPr>
                <w:noProof/>
                <w:webHidden/>
              </w:rPr>
              <w:fldChar w:fldCharType="begin"/>
            </w:r>
            <w:r>
              <w:rPr>
                <w:noProof/>
                <w:webHidden/>
              </w:rPr>
              <w:instrText xml:space="preserve"> PAGEREF _Toc223413778 \h </w:instrText>
            </w:r>
            <w:r>
              <w:rPr>
                <w:noProof/>
                <w:webHidden/>
              </w:rPr>
            </w:r>
            <w:r>
              <w:rPr>
                <w:noProof/>
                <w:webHidden/>
              </w:rPr>
              <w:fldChar w:fldCharType="separate"/>
            </w:r>
            <w:r w:rsidR="00543B3D">
              <w:rPr>
                <w:noProof/>
                <w:webHidden/>
              </w:rPr>
              <w:t>80</w:t>
            </w:r>
            <w:r>
              <w:rPr>
                <w:noProof/>
                <w:webHidden/>
              </w:rPr>
              <w:fldChar w:fldCharType="end"/>
            </w:r>
          </w:hyperlink>
        </w:p>
        <w:p w:rsidR="0029466E" w:rsidRDefault="0029466E" w14:paraId="19E615C2" w14:textId="0F102329">
          <w:pPr>
            <w:pStyle w:val="TableofFigures"/>
            <w:rPr>
              <w:rFonts w:eastAsiaTheme="minorEastAsia"/>
              <w:noProof/>
              <w:color w:val="auto"/>
              <w:kern w:val="2"/>
              <w:sz w:val="24"/>
              <w:szCs w:val="24"/>
              <w:lang w:eastAsia="en-GB"/>
              <w14:ligatures w14:val="standardContextual"/>
            </w:rPr>
          </w:pPr>
          <w:hyperlink w:history="1" w:anchor="_Toc223413779">
            <w:r w:rsidRPr="003B7E34">
              <w:rPr>
                <w:rStyle w:val="Hyperlink"/>
                <w:noProof/>
              </w:rPr>
              <w:t>Figure 5.5. Availability of complaints/feedback mechanism, Serving Citizens 2024</w:t>
            </w:r>
            <w:r>
              <w:rPr>
                <w:noProof/>
                <w:webHidden/>
              </w:rPr>
              <w:tab/>
            </w:r>
            <w:r>
              <w:rPr>
                <w:noProof/>
                <w:webHidden/>
              </w:rPr>
              <w:fldChar w:fldCharType="begin"/>
            </w:r>
            <w:r>
              <w:rPr>
                <w:noProof/>
                <w:webHidden/>
              </w:rPr>
              <w:instrText xml:space="preserve"> PAGEREF _Toc223413779 \h </w:instrText>
            </w:r>
            <w:r>
              <w:rPr>
                <w:noProof/>
                <w:webHidden/>
              </w:rPr>
            </w:r>
            <w:r>
              <w:rPr>
                <w:noProof/>
                <w:webHidden/>
              </w:rPr>
              <w:fldChar w:fldCharType="separate"/>
            </w:r>
            <w:r w:rsidR="00543B3D">
              <w:rPr>
                <w:noProof/>
                <w:webHidden/>
              </w:rPr>
              <w:t>82</w:t>
            </w:r>
            <w:r>
              <w:rPr>
                <w:noProof/>
                <w:webHidden/>
              </w:rPr>
              <w:fldChar w:fldCharType="end"/>
            </w:r>
          </w:hyperlink>
        </w:p>
        <w:p w:rsidR="0029466E" w:rsidRDefault="0029466E" w14:paraId="2ADD79C3" w14:textId="18B99359">
          <w:pPr>
            <w:pStyle w:val="TableofFigures"/>
            <w:rPr>
              <w:rFonts w:eastAsiaTheme="minorEastAsia"/>
              <w:noProof/>
              <w:color w:val="auto"/>
              <w:kern w:val="2"/>
              <w:sz w:val="24"/>
              <w:szCs w:val="24"/>
              <w:lang w:eastAsia="en-GB"/>
              <w14:ligatures w14:val="standardContextual"/>
            </w:rPr>
          </w:pPr>
          <w:hyperlink w:history="1" w:anchor="_Toc223413780">
            <w:r w:rsidRPr="003B7E34">
              <w:rPr>
                <w:rStyle w:val="Hyperlink"/>
                <w:noProof/>
              </w:rPr>
              <w:t>Figure 5.6. Existence of Service Delivery Targets, Serving Citizens 2024</w:t>
            </w:r>
            <w:r>
              <w:rPr>
                <w:noProof/>
                <w:webHidden/>
              </w:rPr>
              <w:tab/>
            </w:r>
            <w:r>
              <w:rPr>
                <w:noProof/>
                <w:webHidden/>
              </w:rPr>
              <w:fldChar w:fldCharType="begin"/>
            </w:r>
            <w:r>
              <w:rPr>
                <w:noProof/>
                <w:webHidden/>
              </w:rPr>
              <w:instrText xml:space="preserve"> PAGEREF _Toc223413780 \h </w:instrText>
            </w:r>
            <w:r>
              <w:rPr>
                <w:noProof/>
                <w:webHidden/>
              </w:rPr>
            </w:r>
            <w:r>
              <w:rPr>
                <w:noProof/>
                <w:webHidden/>
              </w:rPr>
              <w:fldChar w:fldCharType="separate"/>
            </w:r>
            <w:r w:rsidR="00543B3D">
              <w:rPr>
                <w:noProof/>
                <w:webHidden/>
              </w:rPr>
              <w:t>83</w:t>
            </w:r>
            <w:r>
              <w:rPr>
                <w:noProof/>
                <w:webHidden/>
              </w:rPr>
              <w:fldChar w:fldCharType="end"/>
            </w:r>
          </w:hyperlink>
        </w:p>
        <w:p w:rsidR="0029466E" w:rsidRDefault="0029466E" w14:paraId="0D94EFDB" w14:textId="6C0CA605">
          <w:pPr>
            <w:pStyle w:val="TableofFigures"/>
            <w:rPr>
              <w:rFonts w:eastAsiaTheme="minorEastAsia"/>
              <w:noProof/>
              <w:color w:val="auto"/>
              <w:kern w:val="2"/>
              <w:sz w:val="24"/>
              <w:szCs w:val="24"/>
              <w:lang w:eastAsia="en-GB"/>
              <w14:ligatures w14:val="standardContextual"/>
            </w:rPr>
          </w:pPr>
          <w:hyperlink w:history="1" w:anchor="_Toc223413781">
            <w:r w:rsidRPr="003B7E34">
              <w:rPr>
                <w:rStyle w:val="Hyperlink"/>
                <w:noProof/>
              </w:rPr>
              <w:t>Figure 5.7. Agency in charge of setting targets, Serving Citizens 2024</w:t>
            </w:r>
            <w:r>
              <w:rPr>
                <w:noProof/>
                <w:webHidden/>
              </w:rPr>
              <w:tab/>
            </w:r>
            <w:r>
              <w:rPr>
                <w:noProof/>
                <w:webHidden/>
              </w:rPr>
              <w:fldChar w:fldCharType="begin"/>
            </w:r>
            <w:r>
              <w:rPr>
                <w:noProof/>
                <w:webHidden/>
              </w:rPr>
              <w:instrText xml:space="preserve"> PAGEREF _Toc223413781 \h </w:instrText>
            </w:r>
            <w:r>
              <w:rPr>
                <w:noProof/>
                <w:webHidden/>
              </w:rPr>
            </w:r>
            <w:r>
              <w:rPr>
                <w:noProof/>
                <w:webHidden/>
              </w:rPr>
              <w:fldChar w:fldCharType="separate"/>
            </w:r>
            <w:r w:rsidR="00543B3D">
              <w:rPr>
                <w:noProof/>
                <w:webHidden/>
              </w:rPr>
              <w:t>84</w:t>
            </w:r>
            <w:r>
              <w:rPr>
                <w:noProof/>
                <w:webHidden/>
              </w:rPr>
              <w:fldChar w:fldCharType="end"/>
            </w:r>
          </w:hyperlink>
        </w:p>
        <w:p w:rsidR="0029466E" w:rsidRDefault="0029466E" w14:paraId="25C25903" w14:textId="7E53BB38">
          <w:pPr>
            <w:pStyle w:val="TableofFigures"/>
            <w:rPr>
              <w:rFonts w:eastAsiaTheme="minorEastAsia"/>
              <w:noProof/>
              <w:color w:val="auto"/>
              <w:kern w:val="2"/>
              <w:sz w:val="24"/>
              <w:szCs w:val="24"/>
              <w:lang w:eastAsia="en-GB"/>
              <w14:ligatures w14:val="standardContextual"/>
            </w:rPr>
          </w:pPr>
          <w:hyperlink w:history="1" w:anchor="_Toc223413782">
            <w:r w:rsidRPr="003B7E34">
              <w:rPr>
                <w:rStyle w:val="Hyperlink"/>
                <w:noProof/>
              </w:rPr>
              <w:t>Figure 5.8. Incentives for meeting targets, Serving Citizens 2024</w:t>
            </w:r>
            <w:r>
              <w:rPr>
                <w:noProof/>
                <w:webHidden/>
              </w:rPr>
              <w:tab/>
            </w:r>
            <w:r>
              <w:rPr>
                <w:noProof/>
                <w:webHidden/>
              </w:rPr>
              <w:fldChar w:fldCharType="begin"/>
            </w:r>
            <w:r>
              <w:rPr>
                <w:noProof/>
                <w:webHidden/>
              </w:rPr>
              <w:instrText xml:space="preserve"> PAGEREF _Toc223413782 \h </w:instrText>
            </w:r>
            <w:r>
              <w:rPr>
                <w:noProof/>
                <w:webHidden/>
              </w:rPr>
            </w:r>
            <w:r>
              <w:rPr>
                <w:noProof/>
                <w:webHidden/>
              </w:rPr>
              <w:fldChar w:fldCharType="separate"/>
            </w:r>
            <w:r w:rsidR="00543B3D">
              <w:rPr>
                <w:noProof/>
                <w:webHidden/>
              </w:rPr>
              <w:t>84</w:t>
            </w:r>
            <w:r>
              <w:rPr>
                <w:noProof/>
                <w:webHidden/>
              </w:rPr>
              <w:fldChar w:fldCharType="end"/>
            </w:r>
          </w:hyperlink>
        </w:p>
        <w:p w:rsidR="0029466E" w:rsidRDefault="0029466E" w14:paraId="2BDD8143" w14:textId="21A934EC">
          <w:pPr>
            <w:pStyle w:val="TableofFigures"/>
            <w:rPr>
              <w:rFonts w:eastAsiaTheme="minorEastAsia"/>
              <w:noProof/>
              <w:color w:val="auto"/>
              <w:kern w:val="2"/>
              <w:sz w:val="24"/>
              <w:szCs w:val="24"/>
              <w:lang w:eastAsia="en-GB"/>
              <w14:ligatures w14:val="standardContextual"/>
            </w:rPr>
          </w:pPr>
          <w:hyperlink w:history="1" w:anchor="_Toc223413783">
            <w:r w:rsidRPr="003B7E34">
              <w:rPr>
                <w:rStyle w:val="Hyperlink"/>
                <w:noProof/>
              </w:rPr>
              <w:t>Figure 5.9. Agency in charge of centralising performance data, Serving Citizens 2024</w:t>
            </w:r>
            <w:r>
              <w:rPr>
                <w:noProof/>
                <w:webHidden/>
              </w:rPr>
              <w:tab/>
            </w:r>
            <w:r>
              <w:rPr>
                <w:noProof/>
                <w:webHidden/>
              </w:rPr>
              <w:fldChar w:fldCharType="begin"/>
            </w:r>
            <w:r>
              <w:rPr>
                <w:noProof/>
                <w:webHidden/>
              </w:rPr>
              <w:instrText xml:space="preserve"> PAGEREF _Toc223413783 \h </w:instrText>
            </w:r>
            <w:r>
              <w:rPr>
                <w:noProof/>
                <w:webHidden/>
              </w:rPr>
            </w:r>
            <w:r>
              <w:rPr>
                <w:noProof/>
                <w:webHidden/>
              </w:rPr>
              <w:fldChar w:fldCharType="separate"/>
            </w:r>
            <w:r w:rsidR="00543B3D">
              <w:rPr>
                <w:noProof/>
                <w:webHidden/>
              </w:rPr>
              <w:t>85</w:t>
            </w:r>
            <w:r>
              <w:rPr>
                <w:noProof/>
                <w:webHidden/>
              </w:rPr>
              <w:fldChar w:fldCharType="end"/>
            </w:r>
          </w:hyperlink>
        </w:p>
        <w:p w:rsidR="0029466E" w:rsidRDefault="0029466E" w14:paraId="6BB4B184" w14:textId="43156CE0">
          <w:pPr>
            <w:pStyle w:val="TableofFigures"/>
            <w:rPr>
              <w:rFonts w:eastAsiaTheme="minorEastAsia"/>
              <w:noProof/>
              <w:color w:val="auto"/>
              <w:kern w:val="2"/>
              <w:sz w:val="24"/>
              <w:szCs w:val="24"/>
              <w:lang w:eastAsia="en-GB"/>
              <w14:ligatures w14:val="standardContextual"/>
            </w:rPr>
          </w:pPr>
          <w:hyperlink w:history="1" w:anchor="_Toc223413784">
            <w:r w:rsidRPr="003B7E34">
              <w:rPr>
                <w:rStyle w:val="Hyperlink"/>
                <w:noProof/>
              </w:rPr>
              <w:t>Figure 5.10. Publication of performance data, Serving Citizens 2024</w:t>
            </w:r>
            <w:r>
              <w:rPr>
                <w:noProof/>
                <w:webHidden/>
              </w:rPr>
              <w:tab/>
            </w:r>
            <w:r>
              <w:rPr>
                <w:noProof/>
                <w:webHidden/>
              </w:rPr>
              <w:fldChar w:fldCharType="begin"/>
            </w:r>
            <w:r>
              <w:rPr>
                <w:noProof/>
                <w:webHidden/>
              </w:rPr>
              <w:instrText xml:space="preserve"> PAGEREF _Toc223413784 \h </w:instrText>
            </w:r>
            <w:r>
              <w:rPr>
                <w:noProof/>
                <w:webHidden/>
              </w:rPr>
            </w:r>
            <w:r>
              <w:rPr>
                <w:noProof/>
                <w:webHidden/>
              </w:rPr>
              <w:fldChar w:fldCharType="separate"/>
            </w:r>
            <w:r w:rsidR="00543B3D">
              <w:rPr>
                <w:noProof/>
                <w:webHidden/>
              </w:rPr>
              <w:t>85</w:t>
            </w:r>
            <w:r>
              <w:rPr>
                <w:noProof/>
                <w:webHidden/>
              </w:rPr>
              <w:fldChar w:fldCharType="end"/>
            </w:r>
          </w:hyperlink>
        </w:p>
        <w:p w:rsidR="0029466E" w:rsidRDefault="0029466E" w14:paraId="0E0B0E6A" w14:textId="7030B157">
          <w:pPr>
            <w:pStyle w:val="TableofFigures"/>
            <w:rPr>
              <w:rFonts w:eastAsiaTheme="minorEastAsia"/>
              <w:noProof/>
              <w:color w:val="auto"/>
              <w:kern w:val="2"/>
              <w:sz w:val="24"/>
              <w:szCs w:val="24"/>
              <w:lang w:eastAsia="en-GB"/>
              <w14:ligatures w14:val="standardContextual"/>
            </w:rPr>
          </w:pPr>
          <w:hyperlink w:history="1" w:anchor="_Toc223413785">
            <w:r w:rsidRPr="003B7E34">
              <w:rPr>
                <w:rStyle w:val="Hyperlink"/>
                <w:noProof/>
              </w:rPr>
              <w:t>Figure 5.11. Use of experience and performance data, Serving Citizens 2024</w:t>
            </w:r>
            <w:r>
              <w:rPr>
                <w:noProof/>
                <w:webHidden/>
              </w:rPr>
              <w:tab/>
            </w:r>
            <w:r>
              <w:rPr>
                <w:noProof/>
                <w:webHidden/>
              </w:rPr>
              <w:fldChar w:fldCharType="begin"/>
            </w:r>
            <w:r>
              <w:rPr>
                <w:noProof/>
                <w:webHidden/>
              </w:rPr>
              <w:instrText xml:space="preserve"> PAGEREF _Toc223413785 \h </w:instrText>
            </w:r>
            <w:r>
              <w:rPr>
                <w:noProof/>
                <w:webHidden/>
              </w:rPr>
            </w:r>
            <w:r>
              <w:rPr>
                <w:noProof/>
                <w:webHidden/>
              </w:rPr>
              <w:fldChar w:fldCharType="separate"/>
            </w:r>
            <w:r w:rsidR="00543B3D">
              <w:rPr>
                <w:noProof/>
                <w:webHidden/>
              </w:rPr>
              <w:t>86</w:t>
            </w:r>
            <w:r>
              <w:rPr>
                <w:noProof/>
                <w:webHidden/>
              </w:rPr>
              <w:fldChar w:fldCharType="end"/>
            </w:r>
          </w:hyperlink>
        </w:p>
        <w:p w:rsidRPr="003B7B31" w:rsidR="00D2597F" w:rsidP="0022246E" w:rsidRDefault="00D2597F" w14:paraId="54F2641F" w14:textId="5934BCEB">
          <w:pPr>
            <w:pStyle w:val="Para0"/>
            <w:rPr>
              <w:b/>
              <w:lang w:val="en-US"/>
            </w:rPr>
          </w:pPr>
          <w:r w:rsidRPr="003B7B31">
            <w:rPr>
              <w:b/>
              <w:lang w:val="en-US"/>
            </w:rPr>
            <w:fldChar w:fldCharType="end"/>
          </w:r>
        </w:p>
        <w:p w:rsidRPr="003B7B31" w:rsidR="00D2597F" w:rsidRDefault="00D2597F" w14:paraId="3CFEB37D" w14:textId="77777777">
          <w:pPr>
            <w:pStyle w:val="Subtitle"/>
            <w:rPr>
              <w:lang w:val="en-US"/>
            </w:rPr>
          </w:pPr>
          <w:r w:rsidRPr="003B7B31">
            <w:rPr>
              <w:lang w:val="en-US"/>
            </w:rPr>
            <w:t>TABLES</w:t>
          </w:r>
        </w:p>
        <w:p w:rsidR="0029466E" w:rsidRDefault="00D2597F" w14:paraId="34ECFABE" w14:textId="64950659">
          <w:pPr>
            <w:pStyle w:val="TableofFigures"/>
            <w:rPr>
              <w:rFonts w:eastAsiaTheme="minorEastAsia"/>
              <w:noProof/>
              <w:color w:val="auto"/>
              <w:kern w:val="2"/>
              <w:sz w:val="24"/>
              <w:szCs w:val="24"/>
              <w:lang w:eastAsia="en-GB"/>
              <w14:ligatures w14:val="standardContextual"/>
            </w:rPr>
          </w:pPr>
          <w:r w:rsidRPr="003B7B31">
            <w:rPr>
              <w:b/>
              <w:bCs/>
              <w:noProof/>
              <w:lang w:val="en-US"/>
            </w:rPr>
            <w:fldChar w:fldCharType="begin"/>
          </w:r>
          <w:r w:rsidRPr="003B7B31">
            <w:rPr>
              <w:b/>
              <w:bCs/>
              <w:noProof/>
              <w:lang w:val="en-US"/>
            </w:rPr>
            <w:instrText xml:space="preserve"> TOC \h \z \c "Table" </w:instrText>
          </w:r>
          <w:r w:rsidRPr="003B7B31">
            <w:rPr>
              <w:b/>
              <w:bCs/>
              <w:noProof/>
              <w:lang w:val="en-US"/>
            </w:rPr>
            <w:fldChar w:fldCharType="separate"/>
          </w:r>
          <w:hyperlink w:history="1" w:anchor="_Toc223413786">
            <w:r w:rsidRPr="0035453C" w:rsidR="0029466E">
              <w:rPr>
                <w:rStyle w:val="Hyperlink"/>
                <w:noProof/>
              </w:rPr>
              <w:t>Table 2.1. Tools for Access to Public Services</w:t>
            </w:r>
            <w:r w:rsidR="0029466E">
              <w:rPr>
                <w:noProof/>
                <w:webHidden/>
              </w:rPr>
              <w:tab/>
            </w:r>
            <w:r w:rsidR="0029466E">
              <w:rPr>
                <w:noProof/>
                <w:webHidden/>
              </w:rPr>
              <w:fldChar w:fldCharType="begin"/>
            </w:r>
            <w:r w:rsidR="0029466E">
              <w:rPr>
                <w:noProof/>
                <w:webHidden/>
              </w:rPr>
              <w:instrText xml:space="preserve"> PAGEREF _Toc223413786 \h </w:instrText>
            </w:r>
            <w:r w:rsidR="0029466E">
              <w:rPr>
                <w:noProof/>
                <w:webHidden/>
              </w:rPr>
            </w:r>
            <w:r w:rsidR="0029466E">
              <w:rPr>
                <w:noProof/>
                <w:webHidden/>
              </w:rPr>
              <w:fldChar w:fldCharType="separate"/>
            </w:r>
            <w:r w:rsidR="00543B3D">
              <w:rPr>
                <w:noProof/>
                <w:webHidden/>
              </w:rPr>
              <w:t>32</w:t>
            </w:r>
            <w:r w:rsidR="0029466E">
              <w:rPr>
                <w:noProof/>
                <w:webHidden/>
              </w:rPr>
              <w:fldChar w:fldCharType="end"/>
            </w:r>
          </w:hyperlink>
        </w:p>
        <w:p w:rsidR="0029466E" w:rsidRDefault="0029466E" w14:paraId="025C0C71" w14:textId="50546214">
          <w:pPr>
            <w:pStyle w:val="TableofFigures"/>
            <w:rPr>
              <w:rFonts w:eastAsiaTheme="minorEastAsia"/>
              <w:noProof/>
              <w:color w:val="auto"/>
              <w:kern w:val="2"/>
              <w:sz w:val="24"/>
              <w:szCs w:val="24"/>
              <w:lang w:eastAsia="en-GB"/>
              <w14:ligatures w14:val="standardContextual"/>
            </w:rPr>
          </w:pPr>
          <w:hyperlink w:history="1" w:anchor="_Toc223413787">
            <w:r w:rsidRPr="0035453C">
              <w:rPr>
                <w:rStyle w:val="Hyperlink"/>
                <w:noProof/>
              </w:rPr>
              <w:t>Table 3.1. Tools for Navigating Public Services</w:t>
            </w:r>
            <w:r>
              <w:rPr>
                <w:noProof/>
                <w:webHidden/>
              </w:rPr>
              <w:tab/>
            </w:r>
            <w:r>
              <w:rPr>
                <w:noProof/>
                <w:webHidden/>
              </w:rPr>
              <w:fldChar w:fldCharType="begin"/>
            </w:r>
            <w:r>
              <w:rPr>
                <w:noProof/>
                <w:webHidden/>
              </w:rPr>
              <w:instrText xml:space="preserve"> PAGEREF _Toc223413787 \h </w:instrText>
            </w:r>
            <w:r>
              <w:rPr>
                <w:noProof/>
                <w:webHidden/>
              </w:rPr>
            </w:r>
            <w:r>
              <w:rPr>
                <w:noProof/>
                <w:webHidden/>
              </w:rPr>
              <w:fldChar w:fldCharType="separate"/>
            </w:r>
            <w:r w:rsidR="00543B3D">
              <w:rPr>
                <w:noProof/>
                <w:webHidden/>
              </w:rPr>
              <w:t>58</w:t>
            </w:r>
            <w:r>
              <w:rPr>
                <w:noProof/>
                <w:webHidden/>
              </w:rPr>
              <w:fldChar w:fldCharType="end"/>
            </w:r>
          </w:hyperlink>
        </w:p>
        <w:p w:rsidR="0029466E" w:rsidRDefault="0029466E" w14:paraId="2055EE1F" w14:textId="44F757C0">
          <w:pPr>
            <w:pStyle w:val="TableofFigures"/>
            <w:rPr>
              <w:rFonts w:eastAsiaTheme="minorEastAsia"/>
              <w:noProof/>
              <w:color w:val="auto"/>
              <w:kern w:val="2"/>
              <w:sz w:val="24"/>
              <w:szCs w:val="24"/>
              <w:lang w:eastAsia="en-GB"/>
              <w14:ligatures w14:val="standardContextual"/>
            </w:rPr>
          </w:pPr>
          <w:hyperlink w:history="1" w:anchor="_Toc223413788">
            <w:r w:rsidRPr="0035453C">
              <w:rPr>
                <w:rStyle w:val="Hyperlink"/>
                <w:noProof/>
              </w:rPr>
              <w:t>Table 4.1. Tools for Achieving results from Public Services</w:t>
            </w:r>
            <w:r>
              <w:rPr>
                <w:noProof/>
                <w:webHidden/>
              </w:rPr>
              <w:tab/>
            </w:r>
            <w:r>
              <w:rPr>
                <w:noProof/>
                <w:webHidden/>
              </w:rPr>
              <w:fldChar w:fldCharType="begin"/>
            </w:r>
            <w:r>
              <w:rPr>
                <w:noProof/>
                <w:webHidden/>
              </w:rPr>
              <w:instrText xml:space="preserve"> PAGEREF _Toc223413788 \h </w:instrText>
            </w:r>
            <w:r>
              <w:rPr>
                <w:noProof/>
                <w:webHidden/>
              </w:rPr>
            </w:r>
            <w:r>
              <w:rPr>
                <w:noProof/>
                <w:webHidden/>
              </w:rPr>
              <w:fldChar w:fldCharType="separate"/>
            </w:r>
            <w:r w:rsidR="00543B3D">
              <w:rPr>
                <w:noProof/>
                <w:webHidden/>
              </w:rPr>
              <w:t>77</w:t>
            </w:r>
            <w:r>
              <w:rPr>
                <w:noProof/>
                <w:webHidden/>
              </w:rPr>
              <w:fldChar w:fldCharType="end"/>
            </w:r>
          </w:hyperlink>
        </w:p>
        <w:p w:rsidR="0029466E" w:rsidRDefault="0029466E" w14:paraId="1B9CCF0B" w14:textId="5141E4EA">
          <w:pPr>
            <w:pStyle w:val="TableofFigures"/>
            <w:rPr>
              <w:rFonts w:eastAsiaTheme="minorEastAsia"/>
              <w:noProof/>
              <w:color w:val="auto"/>
              <w:kern w:val="2"/>
              <w:sz w:val="24"/>
              <w:szCs w:val="24"/>
              <w:lang w:eastAsia="en-GB"/>
              <w14:ligatures w14:val="standardContextual"/>
            </w:rPr>
          </w:pPr>
          <w:hyperlink w:history="1" w:anchor="_Toc223413789">
            <w:r w:rsidRPr="0035453C">
              <w:rPr>
                <w:rStyle w:val="Hyperlink"/>
                <w:noProof/>
              </w:rPr>
              <w:t>Table 5.1. Measuring the burden stemming from complexity and the impact of simplification</w:t>
            </w:r>
            <w:r>
              <w:rPr>
                <w:noProof/>
                <w:webHidden/>
              </w:rPr>
              <w:tab/>
            </w:r>
            <w:r>
              <w:rPr>
                <w:noProof/>
                <w:webHidden/>
              </w:rPr>
              <w:fldChar w:fldCharType="begin"/>
            </w:r>
            <w:r>
              <w:rPr>
                <w:noProof/>
                <w:webHidden/>
              </w:rPr>
              <w:instrText xml:space="preserve"> PAGEREF _Toc223413789 \h </w:instrText>
            </w:r>
            <w:r>
              <w:rPr>
                <w:noProof/>
                <w:webHidden/>
              </w:rPr>
            </w:r>
            <w:r>
              <w:rPr>
                <w:noProof/>
                <w:webHidden/>
              </w:rPr>
              <w:fldChar w:fldCharType="separate"/>
            </w:r>
            <w:r w:rsidR="00543B3D">
              <w:rPr>
                <w:noProof/>
                <w:webHidden/>
              </w:rPr>
              <w:t>86</w:t>
            </w:r>
            <w:r>
              <w:rPr>
                <w:noProof/>
                <w:webHidden/>
              </w:rPr>
              <w:fldChar w:fldCharType="end"/>
            </w:r>
          </w:hyperlink>
        </w:p>
        <w:p w:rsidR="0029466E" w:rsidRDefault="0029466E" w14:paraId="69BF90D1" w14:textId="282A67F1">
          <w:pPr>
            <w:pStyle w:val="TableofFigures"/>
            <w:rPr>
              <w:rFonts w:eastAsiaTheme="minorEastAsia"/>
              <w:noProof/>
              <w:color w:val="auto"/>
              <w:kern w:val="2"/>
              <w:sz w:val="24"/>
              <w:szCs w:val="24"/>
              <w:lang w:eastAsia="en-GB"/>
              <w14:ligatures w14:val="standardContextual"/>
            </w:rPr>
          </w:pPr>
          <w:hyperlink w:history="1" w:anchor="_Toc223413790">
            <w:r w:rsidRPr="0035453C">
              <w:rPr>
                <w:rStyle w:val="Hyperlink"/>
                <w:noProof/>
              </w:rPr>
              <w:t>Table 5.2. Relevant SCM categories in the service design context</w:t>
            </w:r>
            <w:r>
              <w:rPr>
                <w:noProof/>
                <w:webHidden/>
              </w:rPr>
              <w:tab/>
            </w:r>
            <w:r>
              <w:rPr>
                <w:noProof/>
                <w:webHidden/>
              </w:rPr>
              <w:fldChar w:fldCharType="begin"/>
            </w:r>
            <w:r>
              <w:rPr>
                <w:noProof/>
                <w:webHidden/>
              </w:rPr>
              <w:instrText xml:space="preserve"> PAGEREF _Toc223413790 \h </w:instrText>
            </w:r>
            <w:r>
              <w:rPr>
                <w:noProof/>
                <w:webHidden/>
              </w:rPr>
            </w:r>
            <w:r>
              <w:rPr>
                <w:noProof/>
                <w:webHidden/>
              </w:rPr>
              <w:fldChar w:fldCharType="separate"/>
            </w:r>
            <w:r w:rsidR="00543B3D">
              <w:rPr>
                <w:noProof/>
                <w:webHidden/>
              </w:rPr>
              <w:t>88</w:t>
            </w:r>
            <w:r>
              <w:rPr>
                <w:noProof/>
                <w:webHidden/>
              </w:rPr>
              <w:fldChar w:fldCharType="end"/>
            </w:r>
          </w:hyperlink>
        </w:p>
        <w:p w:rsidRPr="003B7B31" w:rsidR="0022246E" w:rsidP="0022246E" w:rsidRDefault="00D2597F" w14:paraId="1B6BAD0D" w14:textId="75238820">
          <w:pPr>
            <w:pStyle w:val="Subtitle"/>
            <w:rPr>
              <w:lang w:val="en-US"/>
            </w:rPr>
          </w:pPr>
          <w:r w:rsidRPr="003B7B31">
            <w:rPr>
              <w:b w:val="0"/>
              <w:bCs/>
              <w:noProof/>
              <w:lang w:val="en-US"/>
            </w:rPr>
            <w:fldChar w:fldCharType="end"/>
          </w:r>
          <w:r w:rsidR="0022246E">
            <w:rPr>
              <w:lang w:val="en-US"/>
            </w:rPr>
            <w:t>BOXES</w:t>
          </w:r>
        </w:p>
        <w:p w:rsidR="0029466E" w:rsidRDefault="0022246E" w14:paraId="655EC18E" w14:textId="705E4E13">
          <w:pPr>
            <w:pStyle w:val="TableofFigures"/>
            <w:rPr>
              <w:rFonts w:eastAsiaTheme="minorEastAsia"/>
              <w:noProof/>
              <w:color w:val="auto"/>
              <w:kern w:val="2"/>
              <w:sz w:val="24"/>
              <w:szCs w:val="24"/>
              <w:lang w:eastAsia="en-GB"/>
              <w14:ligatures w14:val="standardContextual"/>
            </w:rPr>
          </w:pPr>
          <w:r>
            <w:rPr>
              <w:b/>
              <w:bCs/>
              <w:noProof/>
              <w:lang w:val="en-US"/>
            </w:rPr>
            <w:fldChar w:fldCharType="begin"/>
          </w:r>
          <w:r>
            <w:rPr>
              <w:b/>
              <w:bCs/>
              <w:noProof/>
              <w:lang w:val="en-US"/>
            </w:rPr>
            <w:instrText xml:space="preserve"> TOC \h \z \c "Box" </w:instrText>
          </w:r>
          <w:r>
            <w:rPr>
              <w:b/>
              <w:bCs/>
              <w:noProof/>
              <w:lang w:val="en-US"/>
            </w:rPr>
            <w:fldChar w:fldCharType="separate"/>
          </w:r>
          <w:hyperlink w:history="1" w:anchor="_Toc223413791">
            <w:r w:rsidRPr="00FE4C7A" w:rsidR="0029466E">
              <w:rPr>
                <w:rStyle w:val="Hyperlink"/>
                <w:noProof/>
              </w:rPr>
              <w:t>Box 1.1. Insights from TSI Satisfaction Survey: Public Services Covered by TSI Project on Measuring Citizen Satisfaction with Key Government Services</w:t>
            </w:r>
            <w:r w:rsidR="0029466E">
              <w:rPr>
                <w:noProof/>
                <w:webHidden/>
              </w:rPr>
              <w:tab/>
            </w:r>
            <w:r w:rsidR="0029466E">
              <w:rPr>
                <w:noProof/>
                <w:webHidden/>
              </w:rPr>
              <w:fldChar w:fldCharType="begin"/>
            </w:r>
            <w:r w:rsidR="0029466E">
              <w:rPr>
                <w:noProof/>
                <w:webHidden/>
              </w:rPr>
              <w:instrText xml:space="preserve"> PAGEREF _Toc223413791 \h </w:instrText>
            </w:r>
            <w:r w:rsidR="0029466E">
              <w:rPr>
                <w:noProof/>
                <w:webHidden/>
              </w:rPr>
            </w:r>
            <w:r w:rsidR="0029466E">
              <w:rPr>
                <w:noProof/>
                <w:webHidden/>
              </w:rPr>
              <w:fldChar w:fldCharType="separate"/>
            </w:r>
            <w:r w:rsidR="00543B3D">
              <w:rPr>
                <w:noProof/>
                <w:webHidden/>
              </w:rPr>
              <w:t>7</w:t>
            </w:r>
            <w:r w:rsidR="0029466E">
              <w:rPr>
                <w:noProof/>
                <w:webHidden/>
              </w:rPr>
              <w:fldChar w:fldCharType="end"/>
            </w:r>
          </w:hyperlink>
        </w:p>
        <w:p w:rsidR="0029466E" w:rsidRDefault="0029466E" w14:paraId="7F346070" w14:textId="55E36DF8">
          <w:pPr>
            <w:pStyle w:val="TableofFigures"/>
            <w:rPr>
              <w:rFonts w:eastAsiaTheme="minorEastAsia"/>
              <w:noProof/>
              <w:color w:val="auto"/>
              <w:kern w:val="2"/>
              <w:sz w:val="24"/>
              <w:szCs w:val="24"/>
              <w:lang w:eastAsia="en-GB"/>
              <w14:ligatures w14:val="standardContextual"/>
            </w:rPr>
          </w:pPr>
          <w:hyperlink w:history="1" w:anchor="_Toc223413792">
            <w:r w:rsidRPr="00FE4C7A">
              <w:rPr>
                <w:rStyle w:val="Hyperlink"/>
                <w:noProof/>
              </w:rPr>
              <w:t>Box 2.1. Finland - Approaches for understanding User Needs</w:t>
            </w:r>
            <w:r>
              <w:rPr>
                <w:noProof/>
                <w:webHidden/>
              </w:rPr>
              <w:tab/>
            </w:r>
            <w:r>
              <w:rPr>
                <w:noProof/>
                <w:webHidden/>
              </w:rPr>
              <w:fldChar w:fldCharType="begin"/>
            </w:r>
            <w:r>
              <w:rPr>
                <w:noProof/>
                <w:webHidden/>
              </w:rPr>
              <w:instrText xml:space="preserve"> PAGEREF _Toc223413792 \h </w:instrText>
            </w:r>
            <w:r>
              <w:rPr>
                <w:noProof/>
                <w:webHidden/>
              </w:rPr>
            </w:r>
            <w:r>
              <w:rPr>
                <w:noProof/>
                <w:webHidden/>
              </w:rPr>
              <w:fldChar w:fldCharType="separate"/>
            </w:r>
            <w:r w:rsidR="00543B3D">
              <w:rPr>
                <w:noProof/>
                <w:webHidden/>
              </w:rPr>
              <w:t>15</w:t>
            </w:r>
            <w:r>
              <w:rPr>
                <w:noProof/>
                <w:webHidden/>
              </w:rPr>
              <w:fldChar w:fldCharType="end"/>
            </w:r>
          </w:hyperlink>
        </w:p>
        <w:p w:rsidR="0029466E" w:rsidRDefault="0029466E" w14:paraId="1764B28F" w14:textId="12F9CCF2">
          <w:pPr>
            <w:pStyle w:val="TableofFigures"/>
            <w:rPr>
              <w:rFonts w:eastAsiaTheme="minorEastAsia"/>
              <w:noProof/>
              <w:color w:val="auto"/>
              <w:kern w:val="2"/>
              <w:sz w:val="24"/>
              <w:szCs w:val="24"/>
              <w:lang w:eastAsia="en-GB"/>
              <w14:ligatures w14:val="standardContextual"/>
            </w:rPr>
          </w:pPr>
          <w:hyperlink w:history="1" w:anchor="_Toc223413793">
            <w:r w:rsidRPr="00FE4C7A">
              <w:rPr>
                <w:rStyle w:val="Hyperlink"/>
                <w:noProof/>
              </w:rPr>
              <w:t>Box 2.2. Ireland - Approaches for understanding User Needs</w:t>
            </w:r>
            <w:r>
              <w:rPr>
                <w:noProof/>
                <w:webHidden/>
              </w:rPr>
              <w:tab/>
            </w:r>
            <w:r>
              <w:rPr>
                <w:noProof/>
                <w:webHidden/>
              </w:rPr>
              <w:fldChar w:fldCharType="begin"/>
            </w:r>
            <w:r>
              <w:rPr>
                <w:noProof/>
                <w:webHidden/>
              </w:rPr>
              <w:instrText xml:space="preserve"> PAGEREF _Toc223413793 \h </w:instrText>
            </w:r>
            <w:r>
              <w:rPr>
                <w:noProof/>
                <w:webHidden/>
              </w:rPr>
            </w:r>
            <w:r>
              <w:rPr>
                <w:noProof/>
                <w:webHidden/>
              </w:rPr>
              <w:fldChar w:fldCharType="separate"/>
            </w:r>
            <w:r w:rsidR="00543B3D">
              <w:rPr>
                <w:noProof/>
                <w:webHidden/>
              </w:rPr>
              <w:t>15</w:t>
            </w:r>
            <w:r>
              <w:rPr>
                <w:noProof/>
                <w:webHidden/>
              </w:rPr>
              <w:fldChar w:fldCharType="end"/>
            </w:r>
          </w:hyperlink>
        </w:p>
        <w:p w:rsidR="0029466E" w:rsidRDefault="0029466E" w14:paraId="0D22D3D2" w14:textId="4A51C6B3">
          <w:pPr>
            <w:pStyle w:val="TableofFigures"/>
            <w:rPr>
              <w:rFonts w:eastAsiaTheme="minorEastAsia"/>
              <w:noProof/>
              <w:color w:val="auto"/>
              <w:kern w:val="2"/>
              <w:sz w:val="24"/>
              <w:szCs w:val="24"/>
              <w:lang w:eastAsia="en-GB"/>
              <w14:ligatures w14:val="standardContextual"/>
            </w:rPr>
          </w:pPr>
          <w:hyperlink w:history="1" w:anchor="_Toc223413794">
            <w:r w:rsidRPr="00FE4C7A">
              <w:rPr>
                <w:rStyle w:val="Hyperlink"/>
                <w:noProof/>
              </w:rPr>
              <w:t>Box 2.3. Estonia - Development of Service Design capabilities for digital public services</w:t>
            </w:r>
            <w:r>
              <w:rPr>
                <w:noProof/>
                <w:webHidden/>
              </w:rPr>
              <w:tab/>
            </w:r>
            <w:r>
              <w:rPr>
                <w:noProof/>
                <w:webHidden/>
              </w:rPr>
              <w:fldChar w:fldCharType="begin"/>
            </w:r>
            <w:r>
              <w:rPr>
                <w:noProof/>
                <w:webHidden/>
              </w:rPr>
              <w:instrText xml:space="preserve"> PAGEREF _Toc223413794 \h </w:instrText>
            </w:r>
            <w:r>
              <w:rPr>
                <w:noProof/>
                <w:webHidden/>
              </w:rPr>
            </w:r>
            <w:r>
              <w:rPr>
                <w:noProof/>
                <w:webHidden/>
              </w:rPr>
              <w:fldChar w:fldCharType="separate"/>
            </w:r>
            <w:r w:rsidR="00543B3D">
              <w:rPr>
                <w:noProof/>
                <w:webHidden/>
              </w:rPr>
              <w:t>16</w:t>
            </w:r>
            <w:r>
              <w:rPr>
                <w:noProof/>
                <w:webHidden/>
              </w:rPr>
              <w:fldChar w:fldCharType="end"/>
            </w:r>
          </w:hyperlink>
        </w:p>
        <w:p w:rsidR="0029466E" w:rsidRDefault="0029466E" w14:paraId="0C24D7CA" w14:textId="528FE525">
          <w:pPr>
            <w:pStyle w:val="TableofFigures"/>
            <w:rPr>
              <w:rFonts w:eastAsiaTheme="minorEastAsia"/>
              <w:noProof/>
              <w:color w:val="auto"/>
              <w:kern w:val="2"/>
              <w:sz w:val="24"/>
              <w:szCs w:val="24"/>
              <w:lang w:eastAsia="en-GB"/>
              <w14:ligatures w14:val="standardContextual"/>
            </w:rPr>
          </w:pPr>
          <w:hyperlink w:history="1" w:anchor="_Toc223413795">
            <w:r w:rsidRPr="00FE4C7A">
              <w:rPr>
                <w:rStyle w:val="Hyperlink"/>
                <w:noProof/>
              </w:rPr>
              <w:t>Box 2.4. Ireland - Development of Service Design</w:t>
            </w:r>
            <w:r>
              <w:rPr>
                <w:noProof/>
                <w:webHidden/>
              </w:rPr>
              <w:tab/>
            </w:r>
            <w:r>
              <w:rPr>
                <w:noProof/>
                <w:webHidden/>
              </w:rPr>
              <w:fldChar w:fldCharType="begin"/>
            </w:r>
            <w:r>
              <w:rPr>
                <w:noProof/>
                <w:webHidden/>
              </w:rPr>
              <w:instrText xml:space="preserve"> PAGEREF _Toc223413795 \h </w:instrText>
            </w:r>
            <w:r>
              <w:rPr>
                <w:noProof/>
                <w:webHidden/>
              </w:rPr>
            </w:r>
            <w:r>
              <w:rPr>
                <w:noProof/>
                <w:webHidden/>
              </w:rPr>
              <w:fldChar w:fldCharType="separate"/>
            </w:r>
            <w:r w:rsidR="00543B3D">
              <w:rPr>
                <w:noProof/>
                <w:webHidden/>
              </w:rPr>
              <w:t>17</w:t>
            </w:r>
            <w:r>
              <w:rPr>
                <w:noProof/>
                <w:webHidden/>
              </w:rPr>
              <w:fldChar w:fldCharType="end"/>
            </w:r>
          </w:hyperlink>
        </w:p>
        <w:p w:rsidR="0029466E" w:rsidRDefault="0029466E" w14:paraId="7C771235" w14:textId="147CE917">
          <w:pPr>
            <w:pStyle w:val="TableofFigures"/>
            <w:rPr>
              <w:rFonts w:eastAsiaTheme="minorEastAsia"/>
              <w:noProof/>
              <w:color w:val="auto"/>
              <w:kern w:val="2"/>
              <w:sz w:val="24"/>
              <w:szCs w:val="24"/>
              <w:lang w:eastAsia="en-GB"/>
              <w14:ligatures w14:val="standardContextual"/>
            </w:rPr>
          </w:pPr>
          <w:hyperlink w:history="1" w:anchor="_Toc223413796">
            <w:r w:rsidRPr="00FE4C7A">
              <w:rPr>
                <w:rStyle w:val="Hyperlink"/>
                <w:noProof/>
              </w:rPr>
              <w:t>Box 2.5. Slovenia - Development of unified standards for digital public services</w:t>
            </w:r>
            <w:r>
              <w:rPr>
                <w:noProof/>
                <w:webHidden/>
              </w:rPr>
              <w:tab/>
            </w:r>
            <w:r>
              <w:rPr>
                <w:noProof/>
                <w:webHidden/>
              </w:rPr>
              <w:fldChar w:fldCharType="begin"/>
            </w:r>
            <w:r>
              <w:rPr>
                <w:noProof/>
                <w:webHidden/>
              </w:rPr>
              <w:instrText xml:space="preserve"> PAGEREF _Toc223413796 \h </w:instrText>
            </w:r>
            <w:r>
              <w:rPr>
                <w:noProof/>
                <w:webHidden/>
              </w:rPr>
            </w:r>
            <w:r>
              <w:rPr>
                <w:noProof/>
                <w:webHidden/>
              </w:rPr>
              <w:fldChar w:fldCharType="separate"/>
            </w:r>
            <w:r w:rsidR="00543B3D">
              <w:rPr>
                <w:noProof/>
                <w:webHidden/>
              </w:rPr>
              <w:t>18</w:t>
            </w:r>
            <w:r>
              <w:rPr>
                <w:noProof/>
                <w:webHidden/>
              </w:rPr>
              <w:fldChar w:fldCharType="end"/>
            </w:r>
          </w:hyperlink>
        </w:p>
        <w:p w:rsidR="0029466E" w:rsidRDefault="0029466E" w14:paraId="7F02736F" w14:textId="7E717314">
          <w:pPr>
            <w:pStyle w:val="TableofFigures"/>
            <w:rPr>
              <w:rFonts w:eastAsiaTheme="minorEastAsia"/>
              <w:noProof/>
              <w:color w:val="auto"/>
              <w:kern w:val="2"/>
              <w:sz w:val="24"/>
              <w:szCs w:val="24"/>
              <w:lang w:eastAsia="en-GB"/>
              <w14:ligatures w14:val="standardContextual"/>
            </w:rPr>
          </w:pPr>
          <w:hyperlink w:history="1" w:anchor="_Toc223413797">
            <w:r w:rsidRPr="00FE4C7A">
              <w:rPr>
                <w:rStyle w:val="Hyperlink"/>
                <w:noProof/>
              </w:rPr>
              <w:t>Box 2.6. Use of AI in public service design and delivery</w:t>
            </w:r>
            <w:r>
              <w:rPr>
                <w:noProof/>
                <w:webHidden/>
              </w:rPr>
              <w:tab/>
            </w:r>
            <w:r>
              <w:rPr>
                <w:noProof/>
                <w:webHidden/>
              </w:rPr>
              <w:fldChar w:fldCharType="begin"/>
            </w:r>
            <w:r>
              <w:rPr>
                <w:noProof/>
                <w:webHidden/>
              </w:rPr>
              <w:instrText xml:space="preserve"> PAGEREF _Toc223413797 \h </w:instrText>
            </w:r>
            <w:r>
              <w:rPr>
                <w:noProof/>
                <w:webHidden/>
              </w:rPr>
            </w:r>
            <w:r>
              <w:rPr>
                <w:noProof/>
                <w:webHidden/>
              </w:rPr>
              <w:fldChar w:fldCharType="separate"/>
            </w:r>
            <w:r w:rsidR="00543B3D">
              <w:rPr>
                <w:noProof/>
                <w:webHidden/>
              </w:rPr>
              <w:t>20</w:t>
            </w:r>
            <w:r>
              <w:rPr>
                <w:noProof/>
                <w:webHidden/>
              </w:rPr>
              <w:fldChar w:fldCharType="end"/>
            </w:r>
          </w:hyperlink>
        </w:p>
        <w:p w:rsidR="0029466E" w:rsidRDefault="0029466E" w14:paraId="1C137704" w14:textId="22AF1EC7">
          <w:pPr>
            <w:pStyle w:val="TableofFigures"/>
            <w:rPr>
              <w:rFonts w:eastAsiaTheme="minorEastAsia"/>
              <w:noProof/>
              <w:color w:val="auto"/>
              <w:kern w:val="2"/>
              <w:sz w:val="24"/>
              <w:szCs w:val="24"/>
              <w:lang w:eastAsia="en-GB"/>
              <w14:ligatures w14:val="standardContextual"/>
            </w:rPr>
          </w:pPr>
          <w:hyperlink w:history="1" w:anchor="_Toc223413798">
            <w:r w:rsidRPr="00FE4C7A">
              <w:rPr>
                <w:rStyle w:val="Hyperlink"/>
                <w:noProof/>
              </w:rPr>
              <w:t>Box 2.7. Latvia, Lithuania, Spain - Example of proactiveness of services for Life Event: I filed income taxes</w:t>
            </w:r>
            <w:r>
              <w:rPr>
                <w:noProof/>
                <w:webHidden/>
              </w:rPr>
              <w:tab/>
            </w:r>
            <w:r>
              <w:rPr>
                <w:noProof/>
                <w:webHidden/>
              </w:rPr>
              <w:fldChar w:fldCharType="begin"/>
            </w:r>
            <w:r>
              <w:rPr>
                <w:noProof/>
                <w:webHidden/>
              </w:rPr>
              <w:instrText xml:space="preserve"> PAGEREF _Toc223413798 \h </w:instrText>
            </w:r>
            <w:r>
              <w:rPr>
                <w:noProof/>
                <w:webHidden/>
              </w:rPr>
            </w:r>
            <w:r>
              <w:rPr>
                <w:noProof/>
                <w:webHidden/>
              </w:rPr>
              <w:fldChar w:fldCharType="separate"/>
            </w:r>
            <w:r w:rsidR="00543B3D">
              <w:rPr>
                <w:noProof/>
                <w:webHidden/>
              </w:rPr>
              <w:t>22</w:t>
            </w:r>
            <w:r>
              <w:rPr>
                <w:noProof/>
                <w:webHidden/>
              </w:rPr>
              <w:fldChar w:fldCharType="end"/>
            </w:r>
          </w:hyperlink>
        </w:p>
        <w:p w:rsidR="0029466E" w:rsidRDefault="0029466E" w14:paraId="31C99A83" w14:textId="33776E47">
          <w:pPr>
            <w:pStyle w:val="TableofFigures"/>
            <w:rPr>
              <w:rFonts w:eastAsiaTheme="minorEastAsia"/>
              <w:noProof/>
              <w:color w:val="auto"/>
              <w:kern w:val="2"/>
              <w:sz w:val="24"/>
              <w:szCs w:val="24"/>
              <w:lang w:eastAsia="en-GB"/>
              <w14:ligatures w14:val="standardContextual"/>
            </w:rPr>
          </w:pPr>
          <w:hyperlink w:history="1" w:anchor="_Toc223413799">
            <w:r w:rsidRPr="00FE4C7A">
              <w:rPr>
                <w:rStyle w:val="Hyperlink"/>
                <w:noProof/>
              </w:rPr>
              <w:t>Box 2.8. Croatia - Proactive information provision to citizens</w:t>
            </w:r>
            <w:r>
              <w:rPr>
                <w:noProof/>
                <w:webHidden/>
              </w:rPr>
              <w:tab/>
            </w:r>
            <w:r>
              <w:rPr>
                <w:noProof/>
                <w:webHidden/>
              </w:rPr>
              <w:fldChar w:fldCharType="begin"/>
            </w:r>
            <w:r>
              <w:rPr>
                <w:noProof/>
                <w:webHidden/>
              </w:rPr>
              <w:instrText xml:space="preserve"> PAGEREF _Toc223413799 \h </w:instrText>
            </w:r>
            <w:r>
              <w:rPr>
                <w:noProof/>
                <w:webHidden/>
              </w:rPr>
            </w:r>
            <w:r>
              <w:rPr>
                <w:noProof/>
                <w:webHidden/>
              </w:rPr>
              <w:fldChar w:fldCharType="separate"/>
            </w:r>
            <w:r w:rsidR="00543B3D">
              <w:rPr>
                <w:noProof/>
                <w:webHidden/>
              </w:rPr>
              <w:t>23</w:t>
            </w:r>
            <w:r>
              <w:rPr>
                <w:noProof/>
                <w:webHidden/>
              </w:rPr>
              <w:fldChar w:fldCharType="end"/>
            </w:r>
          </w:hyperlink>
        </w:p>
        <w:p w:rsidR="0029466E" w:rsidRDefault="0029466E" w14:paraId="1E396710" w14:textId="15090D1B">
          <w:pPr>
            <w:pStyle w:val="TableofFigures"/>
            <w:rPr>
              <w:rFonts w:eastAsiaTheme="minorEastAsia"/>
              <w:noProof/>
              <w:color w:val="auto"/>
              <w:kern w:val="2"/>
              <w:sz w:val="24"/>
              <w:szCs w:val="24"/>
              <w:lang w:eastAsia="en-GB"/>
              <w14:ligatures w14:val="standardContextual"/>
            </w:rPr>
          </w:pPr>
          <w:hyperlink w:history="1" w:anchor="_Toc223413800">
            <w:r w:rsidRPr="00FE4C7A">
              <w:rPr>
                <w:rStyle w:val="Hyperlink"/>
                <w:noProof/>
              </w:rPr>
              <w:t>Box 2.9. Estonia and Slovenia - Proactive issuance of benefits and documents for the Life Event: I had a baby</w:t>
            </w:r>
            <w:r>
              <w:rPr>
                <w:noProof/>
                <w:webHidden/>
              </w:rPr>
              <w:tab/>
            </w:r>
            <w:r>
              <w:rPr>
                <w:noProof/>
                <w:webHidden/>
              </w:rPr>
              <w:fldChar w:fldCharType="begin"/>
            </w:r>
            <w:r>
              <w:rPr>
                <w:noProof/>
                <w:webHidden/>
              </w:rPr>
              <w:instrText xml:space="preserve"> PAGEREF _Toc223413800 \h </w:instrText>
            </w:r>
            <w:r>
              <w:rPr>
                <w:noProof/>
                <w:webHidden/>
              </w:rPr>
            </w:r>
            <w:r>
              <w:rPr>
                <w:noProof/>
                <w:webHidden/>
              </w:rPr>
              <w:fldChar w:fldCharType="separate"/>
            </w:r>
            <w:r w:rsidR="00543B3D">
              <w:rPr>
                <w:noProof/>
                <w:webHidden/>
              </w:rPr>
              <w:t>24</w:t>
            </w:r>
            <w:r>
              <w:rPr>
                <w:noProof/>
                <w:webHidden/>
              </w:rPr>
              <w:fldChar w:fldCharType="end"/>
            </w:r>
          </w:hyperlink>
        </w:p>
        <w:p w:rsidR="0029466E" w:rsidRDefault="0029466E" w14:paraId="1B3391A1" w14:textId="53C52879">
          <w:pPr>
            <w:pStyle w:val="TableofFigures"/>
            <w:rPr>
              <w:rFonts w:eastAsiaTheme="minorEastAsia"/>
              <w:noProof/>
              <w:color w:val="auto"/>
              <w:kern w:val="2"/>
              <w:sz w:val="24"/>
              <w:szCs w:val="24"/>
              <w:lang w:eastAsia="en-GB"/>
              <w14:ligatures w14:val="standardContextual"/>
            </w:rPr>
          </w:pPr>
          <w:hyperlink w:history="1" w:anchor="_Toc223413801">
            <w:r w:rsidRPr="00FE4C7A">
              <w:rPr>
                <w:rStyle w:val="Hyperlink"/>
                <w:noProof/>
              </w:rPr>
              <w:t xml:space="preserve">Box 2.10. </w:t>
            </w:r>
            <w:r w:rsidRPr="00FE4C7A">
              <w:rPr>
                <w:rStyle w:val="Hyperlink"/>
                <w:noProof/>
                <w:lang w:val="en-US"/>
              </w:rPr>
              <w:t>Finland -Suomi-Piste Local Contact Points for Public Services</w:t>
            </w:r>
            <w:r>
              <w:rPr>
                <w:noProof/>
                <w:webHidden/>
              </w:rPr>
              <w:tab/>
            </w:r>
            <w:r>
              <w:rPr>
                <w:noProof/>
                <w:webHidden/>
              </w:rPr>
              <w:fldChar w:fldCharType="begin"/>
            </w:r>
            <w:r>
              <w:rPr>
                <w:noProof/>
                <w:webHidden/>
              </w:rPr>
              <w:instrText xml:space="preserve"> PAGEREF _Toc223413801 \h </w:instrText>
            </w:r>
            <w:r>
              <w:rPr>
                <w:noProof/>
                <w:webHidden/>
              </w:rPr>
            </w:r>
            <w:r>
              <w:rPr>
                <w:noProof/>
                <w:webHidden/>
              </w:rPr>
              <w:fldChar w:fldCharType="separate"/>
            </w:r>
            <w:r w:rsidR="00543B3D">
              <w:rPr>
                <w:noProof/>
                <w:webHidden/>
              </w:rPr>
              <w:t>28</w:t>
            </w:r>
            <w:r>
              <w:rPr>
                <w:noProof/>
                <w:webHidden/>
              </w:rPr>
              <w:fldChar w:fldCharType="end"/>
            </w:r>
          </w:hyperlink>
        </w:p>
        <w:p w:rsidR="0029466E" w:rsidRDefault="0029466E" w14:paraId="24668589" w14:textId="3C9288CE">
          <w:pPr>
            <w:pStyle w:val="TableofFigures"/>
            <w:rPr>
              <w:rFonts w:eastAsiaTheme="minorEastAsia"/>
              <w:noProof/>
              <w:color w:val="auto"/>
              <w:kern w:val="2"/>
              <w:sz w:val="24"/>
              <w:szCs w:val="24"/>
              <w:lang w:eastAsia="en-GB"/>
              <w14:ligatures w14:val="standardContextual"/>
            </w:rPr>
          </w:pPr>
          <w:hyperlink w:history="1" w:anchor="_Toc223413802">
            <w:r w:rsidRPr="00FE4C7A">
              <w:rPr>
                <w:rStyle w:val="Hyperlink"/>
                <w:noProof/>
              </w:rPr>
              <w:t>Box 2.11. Greece -</w:t>
            </w:r>
            <w:r w:rsidRPr="00FE4C7A">
              <w:rPr>
                <w:rStyle w:val="Hyperlink"/>
                <w:noProof/>
                <w:lang w:val="en-US"/>
              </w:rPr>
              <w:t xml:space="preserve"> KEP centers Local Contact Points for Public Services</w:t>
            </w:r>
            <w:r>
              <w:rPr>
                <w:noProof/>
                <w:webHidden/>
              </w:rPr>
              <w:tab/>
            </w:r>
            <w:r>
              <w:rPr>
                <w:noProof/>
                <w:webHidden/>
              </w:rPr>
              <w:fldChar w:fldCharType="begin"/>
            </w:r>
            <w:r>
              <w:rPr>
                <w:noProof/>
                <w:webHidden/>
              </w:rPr>
              <w:instrText xml:space="preserve"> PAGEREF _Toc223413802 \h </w:instrText>
            </w:r>
            <w:r>
              <w:rPr>
                <w:noProof/>
                <w:webHidden/>
              </w:rPr>
            </w:r>
            <w:r>
              <w:rPr>
                <w:noProof/>
                <w:webHidden/>
              </w:rPr>
              <w:fldChar w:fldCharType="separate"/>
            </w:r>
            <w:r w:rsidR="00543B3D">
              <w:rPr>
                <w:noProof/>
                <w:webHidden/>
              </w:rPr>
              <w:t>29</w:t>
            </w:r>
            <w:r>
              <w:rPr>
                <w:noProof/>
                <w:webHidden/>
              </w:rPr>
              <w:fldChar w:fldCharType="end"/>
            </w:r>
          </w:hyperlink>
        </w:p>
        <w:p w:rsidR="0029466E" w:rsidRDefault="0029466E" w14:paraId="0C1DAD84" w14:textId="2D20BAC5">
          <w:pPr>
            <w:pStyle w:val="TableofFigures"/>
            <w:rPr>
              <w:rFonts w:eastAsiaTheme="minorEastAsia"/>
              <w:noProof/>
              <w:color w:val="auto"/>
              <w:kern w:val="2"/>
              <w:sz w:val="24"/>
              <w:szCs w:val="24"/>
              <w:lang w:eastAsia="en-GB"/>
              <w14:ligatures w14:val="standardContextual"/>
            </w:rPr>
          </w:pPr>
          <w:hyperlink w:history="1" w:anchor="_Toc223413803">
            <w:r w:rsidRPr="00FE4C7A">
              <w:rPr>
                <w:rStyle w:val="Hyperlink"/>
                <w:noProof/>
              </w:rPr>
              <w:t>Box 2.12. Croatia - Adapting Life Event delivery to types of access required by users</w:t>
            </w:r>
            <w:r>
              <w:rPr>
                <w:noProof/>
                <w:webHidden/>
              </w:rPr>
              <w:tab/>
            </w:r>
            <w:r>
              <w:rPr>
                <w:noProof/>
                <w:webHidden/>
              </w:rPr>
              <w:fldChar w:fldCharType="begin"/>
            </w:r>
            <w:r>
              <w:rPr>
                <w:noProof/>
                <w:webHidden/>
              </w:rPr>
              <w:instrText xml:space="preserve"> PAGEREF _Toc223413803 \h </w:instrText>
            </w:r>
            <w:r>
              <w:rPr>
                <w:noProof/>
                <w:webHidden/>
              </w:rPr>
            </w:r>
            <w:r>
              <w:rPr>
                <w:noProof/>
                <w:webHidden/>
              </w:rPr>
              <w:fldChar w:fldCharType="separate"/>
            </w:r>
            <w:r w:rsidR="00543B3D">
              <w:rPr>
                <w:noProof/>
                <w:webHidden/>
              </w:rPr>
              <w:t>29</w:t>
            </w:r>
            <w:r>
              <w:rPr>
                <w:noProof/>
                <w:webHidden/>
              </w:rPr>
              <w:fldChar w:fldCharType="end"/>
            </w:r>
          </w:hyperlink>
        </w:p>
        <w:p w:rsidR="0029466E" w:rsidRDefault="0029466E" w14:paraId="69966523" w14:textId="20E41CDD">
          <w:pPr>
            <w:pStyle w:val="TableofFigures"/>
            <w:rPr>
              <w:rFonts w:eastAsiaTheme="minorEastAsia"/>
              <w:noProof/>
              <w:color w:val="auto"/>
              <w:kern w:val="2"/>
              <w:sz w:val="24"/>
              <w:szCs w:val="24"/>
              <w:lang w:eastAsia="en-GB"/>
              <w14:ligatures w14:val="standardContextual"/>
            </w:rPr>
          </w:pPr>
          <w:hyperlink w:history="1" w:anchor="_Toc223413804">
            <w:r w:rsidRPr="00FE4C7A">
              <w:rPr>
                <w:rStyle w:val="Hyperlink"/>
                <w:noProof/>
              </w:rPr>
              <w:t>Box 2.13. Finland - Enhancement of digital services</w:t>
            </w:r>
            <w:r>
              <w:rPr>
                <w:noProof/>
                <w:webHidden/>
              </w:rPr>
              <w:tab/>
            </w:r>
            <w:r>
              <w:rPr>
                <w:noProof/>
                <w:webHidden/>
              </w:rPr>
              <w:fldChar w:fldCharType="begin"/>
            </w:r>
            <w:r>
              <w:rPr>
                <w:noProof/>
                <w:webHidden/>
              </w:rPr>
              <w:instrText xml:space="preserve"> PAGEREF _Toc223413804 \h </w:instrText>
            </w:r>
            <w:r>
              <w:rPr>
                <w:noProof/>
                <w:webHidden/>
              </w:rPr>
            </w:r>
            <w:r>
              <w:rPr>
                <w:noProof/>
                <w:webHidden/>
              </w:rPr>
              <w:fldChar w:fldCharType="separate"/>
            </w:r>
            <w:r w:rsidR="00543B3D">
              <w:rPr>
                <w:noProof/>
                <w:webHidden/>
              </w:rPr>
              <w:t>31</w:t>
            </w:r>
            <w:r>
              <w:rPr>
                <w:noProof/>
                <w:webHidden/>
              </w:rPr>
              <w:fldChar w:fldCharType="end"/>
            </w:r>
          </w:hyperlink>
        </w:p>
        <w:p w:rsidR="0029466E" w:rsidRDefault="0029466E" w14:paraId="49B2D4CB" w14:textId="676FD573">
          <w:pPr>
            <w:pStyle w:val="TableofFigures"/>
            <w:rPr>
              <w:rFonts w:eastAsiaTheme="minorEastAsia"/>
              <w:noProof/>
              <w:color w:val="auto"/>
              <w:kern w:val="2"/>
              <w:sz w:val="24"/>
              <w:szCs w:val="24"/>
              <w:lang w:eastAsia="en-GB"/>
              <w14:ligatures w14:val="standardContextual"/>
            </w:rPr>
          </w:pPr>
          <w:hyperlink w:history="1" w:anchor="_Toc223413805">
            <w:r w:rsidRPr="00FE4C7A">
              <w:rPr>
                <w:rStyle w:val="Hyperlink"/>
                <w:noProof/>
              </w:rPr>
              <w:t>Box 3.1. Estonia - Providing clear services</w:t>
            </w:r>
            <w:r>
              <w:rPr>
                <w:noProof/>
                <w:webHidden/>
              </w:rPr>
              <w:tab/>
            </w:r>
            <w:r>
              <w:rPr>
                <w:noProof/>
                <w:webHidden/>
              </w:rPr>
              <w:fldChar w:fldCharType="begin"/>
            </w:r>
            <w:r>
              <w:rPr>
                <w:noProof/>
                <w:webHidden/>
              </w:rPr>
              <w:instrText xml:space="preserve"> PAGEREF _Toc223413805 \h </w:instrText>
            </w:r>
            <w:r>
              <w:rPr>
                <w:noProof/>
                <w:webHidden/>
              </w:rPr>
            </w:r>
            <w:r>
              <w:rPr>
                <w:noProof/>
                <w:webHidden/>
              </w:rPr>
              <w:fldChar w:fldCharType="separate"/>
            </w:r>
            <w:r w:rsidR="00543B3D">
              <w:rPr>
                <w:noProof/>
                <w:webHidden/>
              </w:rPr>
              <w:t>37</w:t>
            </w:r>
            <w:r>
              <w:rPr>
                <w:noProof/>
                <w:webHidden/>
              </w:rPr>
              <w:fldChar w:fldCharType="end"/>
            </w:r>
          </w:hyperlink>
        </w:p>
        <w:p w:rsidR="0029466E" w:rsidRDefault="0029466E" w14:paraId="6C9A4ADB" w14:textId="21B1D55F">
          <w:pPr>
            <w:pStyle w:val="TableofFigures"/>
            <w:rPr>
              <w:rFonts w:eastAsiaTheme="minorEastAsia"/>
              <w:noProof/>
              <w:color w:val="auto"/>
              <w:kern w:val="2"/>
              <w:sz w:val="24"/>
              <w:szCs w:val="24"/>
              <w:lang w:eastAsia="en-GB"/>
              <w14:ligatures w14:val="standardContextual"/>
            </w:rPr>
          </w:pPr>
          <w:hyperlink w:history="1" w:anchor="_Toc223413806">
            <w:r w:rsidRPr="00FE4C7A">
              <w:rPr>
                <w:rStyle w:val="Hyperlink"/>
                <w:noProof/>
              </w:rPr>
              <w:t>Box 3.2. Ireland - Human-centred approach for enhancing service clarity</w:t>
            </w:r>
            <w:r>
              <w:rPr>
                <w:noProof/>
                <w:webHidden/>
              </w:rPr>
              <w:tab/>
            </w:r>
            <w:r>
              <w:rPr>
                <w:noProof/>
                <w:webHidden/>
              </w:rPr>
              <w:fldChar w:fldCharType="begin"/>
            </w:r>
            <w:r>
              <w:rPr>
                <w:noProof/>
                <w:webHidden/>
              </w:rPr>
              <w:instrText xml:space="preserve"> PAGEREF _Toc223413806 \h </w:instrText>
            </w:r>
            <w:r>
              <w:rPr>
                <w:noProof/>
                <w:webHidden/>
              </w:rPr>
            </w:r>
            <w:r>
              <w:rPr>
                <w:noProof/>
                <w:webHidden/>
              </w:rPr>
              <w:fldChar w:fldCharType="separate"/>
            </w:r>
            <w:r w:rsidR="00543B3D">
              <w:rPr>
                <w:noProof/>
                <w:webHidden/>
              </w:rPr>
              <w:t>38</w:t>
            </w:r>
            <w:r>
              <w:rPr>
                <w:noProof/>
                <w:webHidden/>
              </w:rPr>
              <w:fldChar w:fldCharType="end"/>
            </w:r>
          </w:hyperlink>
        </w:p>
        <w:p w:rsidR="0029466E" w:rsidRDefault="0029466E" w14:paraId="7636AEF6" w14:textId="1D652AF0">
          <w:pPr>
            <w:pStyle w:val="TableofFigures"/>
            <w:rPr>
              <w:rFonts w:eastAsiaTheme="minorEastAsia"/>
              <w:noProof/>
              <w:color w:val="auto"/>
              <w:kern w:val="2"/>
              <w:sz w:val="24"/>
              <w:szCs w:val="24"/>
              <w:lang w:eastAsia="en-GB"/>
              <w14:ligatures w14:val="standardContextual"/>
            </w:rPr>
          </w:pPr>
          <w:hyperlink w:history="1" w:anchor="_Toc223413807">
            <w:r w:rsidRPr="00FE4C7A">
              <w:rPr>
                <w:rStyle w:val="Hyperlink"/>
                <w:noProof/>
              </w:rPr>
              <w:t>Box 3.3. Austria - Committee of the Federal Government, the Länder, Cities and Municipalities</w:t>
            </w:r>
            <w:r>
              <w:rPr>
                <w:noProof/>
                <w:webHidden/>
              </w:rPr>
              <w:tab/>
            </w:r>
            <w:r>
              <w:rPr>
                <w:noProof/>
                <w:webHidden/>
              </w:rPr>
              <w:fldChar w:fldCharType="begin"/>
            </w:r>
            <w:r>
              <w:rPr>
                <w:noProof/>
                <w:webHidden/>
              </w:rPr>
              <w:instrText xml:space="preserve"> PAGEREF _Toc223413807 \h </w:instrText>
            </w:r>
            <w:r>
              <w:rPr>
                <w:noProof/>
                <w:webHidden/>
              </w:rPr>
            </w:r>
            <w:r>
              <w:rPr>
                <w:noProof/>
                <w:webHidden/>
              </w:rPr>
              <w:fldChar w:fldCharType="separate"/>
            </w:r>
            <w:r w:rsidR="00543B3D">
              <w:rPr>
                <w:noProof/>
                <w:webHidden/>
              </w:rPr>
              <w:t>43</w:t>
            </w:r>
            <w:r>
              <w:rPr>
                <w:noProof/>
                <w:webHidden/>
              </w:rPr>
              <w:fldChar w:fldCharType="end"/>
            </w:r>
          </w:hyperlink>
        </w:p>
        <w:p w:rsidR="0029466E" w:rsidRDefault="0029466E" w14:paraId="2AE319DD" w14:textId="5218098E">
          <w:pPr>
            <w:pStyle w:val="TableofFigures"/>
            <w:rPr>
              <w:rFonts w:eastAsiaTheme="minorEastAsia"/>
              <w:noProof/>
              <w:color w:val="auto"/>
              <w:kern w:val="2"/>
              <w:sz w:val="24"/>
              <w:szCs w:val="24"/>
              <w:lang w:eastAsia="en-GB"/>
              <w14:ligatures w14:val="standardContextual"/>
            </w:rPr>
          </w:pPr>
          <w:hyperlink w:history="1" w:anchor="_Toc223413808">
            <w:r w:rsidRPr="00FE4C7A">
              <w:rPr>
                <w:rStyle w:val="Hyperlink"/>
                <w:noProof/>
              </w:rPr>
              <w:t>Box 3.4. Spain - Initiatives to enhance coordination of services through the Inspecciones Departmantales de Servicios</w:t>
            </w:r>
            <w:r>
              <w:rPr>
                <w:noProof/>
                <w:webHidden/>
              </w:rPr>
              <w:tab/>
            </w:r>
            <w:r>
              <w:rPr>
                <w:noProof/>
                <w:webHidden/>
              </w:rPr>
              <w:fldChar w:fldCharType="begin"/>
            </w:r>
            <w:r>
              <w:rPr>
                <w:noProof/>
                <w:webHidden/>
              </w:rPr>
              <w:instrText xml:space="preserve"> PAGEREF _Toc223413808 \h </w:instrText>
            </w:r>
            <w:r>
              <w:rPr>
                <w:noProof/>
                <w:webHidden/>
              </w:rPr>
            </w:r>
            <w:r>
              <w:rPr>
                <w:noProof/>
                <w:webHidden/>
              </w:rPr>
              <w:fldChar w:fldCharType="separate"/>
            </w:r>
            <w:r w:rsidR="00543B3D">
              <w:rPr>
                <w:noProof/>
                <w:webHidden/>
              </w:rPr>
              <w:t>44</w:t>
            </w:r>
            <w:r>
              <w:rPr>
                <w:noProof/>
                <w:webHidden/>
              </w:rPr>
              <w:fldChar w:fldCharType="end"/>
            </w:r>
          </w:hyperlink>
        </w:p>
        <w:p w:rsidR="0029466E" w:rsidRDefault="0029466E" w14:paraId="65640EEC" w14:textId="72ED09C2">
          <w:pPr>
            <w:pStyle w:val="TableofFigures"/>
            <w:rPr>
              <w:rFonts w:eastAsiaTheme="minorEastAsia"/>
              <w:noProof/>
              <w:color w:val="auto"/>
              <w:kern w:val="2"/>
              <w:sz w:val="24"/>
              <w:szCs w:val="24"/>
              <w:lang w:eastAsia="en-GB"/>
              <w14:ligatures w14:val="standardContextual"/>
            </w:rPr>
          </w:pPr>
          <w:hyperlink w:history="1" w:anchor="_Toc223413809">
            <w:r w:rsidRPr="00FE4C7A">
              <w:rPr>
                <w:rStyle w:val="Hyperlink"/>
                <w:noProof/>
              </w:rPr>
              <w:t>Box 3.5. Ireland - The Public Services Leadership Board</w:t>
            </w:r>
            <w:r>
              <w:rPr>
                <w:noProof/>
                <w:webHidden/>
              </w:rPr>
              <w:tab/>
            </w:r>
            <w:r>
              <w:rPr>
                <w:noProof/>
                <w:webHidden/>
              </w:rPr>
              <w:fldChar w:fldCharType="begin"/>
            </w:r>
            <w:r>
              <w:rPr>
                <w:noProof/>
                <w:webHidden/>
              </w:rPr>
              <w:instrText xml:space="preserve"> PAGEREF _Toc223413809 \h </w:instrText>
            </w:r>
            <w:r>
              <w:rPr>
                <w:noProof/>
                <w:webHidden/>
              </w:rPr>
            </w:r>
            <w:r>
              <w:rPr>
                <w:noProof/>
                <w:webHidden/>
              </w:rPr>
              <w:fldChar w:fldCharType="separate"/>
            </w:r>
            <w:r w:rsidR="00543B3D">
              <w:rPr>
                <w:noProof/>
                <w:webHidden/>
              </w:rPr>
              <w:t>44</w:t>
            </w:r>
            <w:r>
              <w:rPr>
                <w:noProof/>
                <w:webHidden/>
              </w:rPr>
              <w:fldChar w:fldCharType="end"/>
            </w:r>
          </w:hyperlink>
        </w:p>
        <w:p w:rsidR="0029466E" w:rsidRDefault="0029466E" w14:paraId="4A9D5331" w14:textId="279525B9">
          <w:pPr>
            <w:pStyle w:val="TableofFigures"/>
            <w:rPr>
              <w:rFonts w:eastAsiaTheme="minorEastAsia"/>
              <w:noProof/>
              <w:color w:val="auto"/>
              <w:kern w:val="2"/>
              <w:sz w:val="24"/>
              <w:szCs w:val="24"/>
              <w:lang w:eastAsia="en-GB"/>
              <w14:ligatures w14:val="standardContextual"/>
            </w:rPr>
          </w:pPr>
          <w:hyperlink w:history="1" w:anchor="_Toc223413810">
            <w:r w:rsidRPr="00FE4C7A">
              <w:rPr>
                <w:rStyle w:val="Hyperlink"/>
                <w:noProof/>
              </w:rPr>
              <w:t>Box </w:t>
            </w:r>
            <w:r w:rsidRPr="00FE4C7A">
              <w:rPr>
                <w:rStyle w:val="Hyperlink"/>
                <w:rFonts w:hint="eastAsia"/>
                <w:noProof/>
                <w:cs/>
              </w:rPr>
              <w:t>‎</w:t>
            </w:r>
            <w:r w:rsidRPr="00FE4C7A">
              <w:rPr>
                <w:rStyle w:val="Hyperlink"/>
                <w:noProof/>
              </w:rPr>
              <w:t>3.6. Latvia - Co-ordination across government levels in to ensure seamless service delivery</w:t>
            </w:r>
            <w:r>
              <w:rPr>
                <w:noProof/>
                <w:webHidden/>
              </w:rPr>
              <w:tab/>
            </w:r>
            <w:r>
              <w:rPr>
                <w:noProof/>
                <w:webHidden/>
              </w:rPr>
              <w:fldChar w:fldCharType="begin"/>
            </w:r>
            <w:r>
              <w:rPr>
                <w:noProof/>
                <w:webHidden/>
              </w:rPr>
              <w:instrText xml:space="preserve"> PAGEREF _Toc223413810 \h </w:instrText>
            </w:r>
            <w:r>
              <w:rPr>
                <w:noProof/>
                <w:webHidden/>
              </w:rPr>
            </w:r>
            <w:r>
              <w:rPr>
                <w:noProof/>
                <w:webHidden/>
              </w:rPr>
              <w:fldChar w:fldCharType="separate"/>
            </w:r>
            <w:r w:rsidR="00543B3D">
              <w:rPr>
                <w:noProof/>
                <w:webHidden/>
              </w:rPr>
              <w:t>45</w:t>
            </w:r>
            <w:r>
              <w:rPr>
                <w:noProof/>
                <w:webHidden/>
              </w:rPr>
              <w:fldChar w:fldCharType="end"/>
            </w:r>
          </w:hyperlink>
        </w:p>
        <w:p w:rsidR="0029466E" w:rsidRDefault="0029466E" w14:paraId="108D6861" w14:textId="475FD0AE">
          <w:pPr>
            <w:pStyle w:val="TableofFigures"/>
            <w:rPr>
              <w:rFonts w:eastAsiaTheme="minorEastAsia"/>
              <w:noProof/>
              <w:color w:val="auto"/>
              <w:kern w:val="2"/>
              <w:sz w:val="24"/>
              <w:szCs w:val="24"/>
              <w:lang w:eastAsia="en-GB"/>
              <w14:ligatures w14:val="standardContextual"/>
            </w:rPr>
          </w:pPr>
          <w:hyperlink w:history="1" w:anchor="_Toc223413811">
            <w:r w:rsidRPr="00FE4C7A">
              <w:rPr>
                <w:rStyle w:val="Hyperlink"/>
                <w:noProof/>
              </w:rPr>
              <w:t>Box </w:t>
            </w:r>
            <w:r w:rsidRPr="00FE4C7A">
              <w:rPr>
                <w:rStyle w:val="Hyperlink"/>
                <w:rFonts w:hint="eastAsia"/>
                <w:noProof/>
                <w:cs/>
              </w:rPr>
              <w:t>‎</w:t>
            </w:r>
            <w:r w:rsidRPr="00FE4C7A">
              <w:rPr>
                <w:rStyle w:val="Hyperlink"/>
                <w:noProof/>
              </w:rPr>
              <w:t xml:space="preserve">3.7. Estonia - </w:t>
            </w:r>
            <w:r w:rsidRPr="00FE4C7A">
              <w:rPr>
                <w:rStyle w:val="Hyperlink"/>
                <w:noProof/>
                <w:lang w:val="en-US"/>
              </w:rPr>
              <w:t>The Public Service Catalogue</w:t>
            </w:r>
            <w:r>
              <w:rPr>
                <w:noProof/>
                <w:webHidden/>
              </w:rPr>
              <w:tab/>
            </w:r>
            <w:r>
              <w:rPr>
                <w:noProof/>
                <w:webHidden/>
              </w:rPr>
              <w:fldChar w:fldCharType="begin"/>
            </w:r>
            <w:r>
              <w:rPr>
                <w:noProof/>
                <w:webHidden/>
              </w:rPr>
              <w:instrText xml:space="preserve"> PAGEREF _Toc223413811 \h </w:instrText>
            </w:r>
            <w:r>
              <w:rPr>
                <w:noProof/>
                <w:webHidden/>
              </w:rPr>
            </w:r>
            <w:r>
              <w:rPr>
                <w:noProof/>
                <w:webHidden/>
              </w:rPr>
              <w:fldChar w:fldCharType="separate"/>
            </w:r>
            <w:r w:rsidR="00543B3D">
              <w:rPr>
                <w:noProof/>
                <w:webHidden/>
              </w:rPr>
              <w:t>46</w:t>
            </w:r>
            <w:r>
              <w:rPr>
                <w:noProof/>
                <w:webHidden/>
              </w:rPr>
              <w:fldChar w:fldCharType="end"/>
            </w:r>
          </w:hyperlink>
        </w:p>
        <w:p w:rsidR="0029466E" w:rsidRDefault="0029466E" w14:paraId="1BEA0218" w14:textId="38BD6FC8">
          <w:pPr>
            <w:pStyle w:val="TableofFigures"/>
            <w:rPr>
              <w:rFonts w:eastAsiaTheme="minorEastAsia"/>
              <w:noProof/>
              <w:color w:val="auto"/>
              <w:kern w:val="2"/>
              <w:sz w:val="24"/>
              <w:szCs w:val="24"/>
              <w:lang w:eastAsia="en-GB"/>
              <w14:ligatures w14:val="standardContextual"/>
            </w:rPr>
          </w:pPr>
          <w:hyperlink w:history="1" w:anchor="_Toc223413812">
            <w:r w:rsidRPr="00FE4C7A">
              <w:rPr>
                <w:rStyle w:val="Hyperlink"/>
                <w:noProof/>
              </w:rPr>
              <w:t>Box </w:t>
            </w:r>
            <w:r w:rsidRPr="00FE4C7A">
              <w:rPr>
                <w:rStyle w:val="Hyperlink"/>
                <w:rFonts w:hint="eastAsia"/>
                <w:noProof/>
                <w:cs/>
              </w:rPr>
              <w:t>‎</w:t>
            </w:r>
            <w:r w:rsidRPr="00FE4C7A">
              <w:rPr>
                <w:rStyle w:val="Hyperlink"/>
                <w:noProof/>
              </w:rPr>
              <w:t>3.8. Greece - Mitos Registry of Procedures</w:t>
            </w:r>
            <w:r>
              <w:rPr>
                <w:noProof/>
                <w:webHidden/>
              </w:rPr>
              <w:tab/>
            </w:r>
            <w:r>
              <w:rPr>
                <w:noProof/>
                <w:webHidden/>
              </w:rPr>
              <w:fldChar w:fldCharType="begin"/>
            </w:r>
            <w:r>
              <w:rPr>
                <w:noProof/>
                <w:webHidden/>
              </w:rPr>
              <w:instrText xml:space="preserve"> PAGEREF _Toc223413812 \h </w:instrText>
            </w:r>
            <w:r>
              <w:rPr>
                <w:noProof/>
                <w:webHidden/>
              </w:rPr>
            </w:r>
            <w:r>
              <w:rPr>
                <w:noProof/>
                <w:webHidden/>
              </w:rPr>
              <w:fldChar w:fldCharType="separate"/>
            </w:r>
            <w:r w:rsidR="00543B3D">
              <w:rPr>
                <w:noProof/>
                <w:webHidden/>
              </w:rPr>
              <w:t>47</w:t>
            </w:r>
            <w:r>
              <w:rPr>
                <w:noProof/>
                <w:webHidden/>
              </w:rPr>
              <w:fldChar w:fldCharType="end"/>
            </w:r>
          </w:hyperlink>
        </w:p>
        <w:p w:rsidR="0029466E" w:rsidRDefault="0029466E" w14:paraId="7B5F16AD" w14:textId="0A05934B">
          <w:pPr>
            <w:pStyle w:val="TableofFigures"/>
            <w:rPr>
              <w:rFonts w:eastAsiaTheme="minorEastAsia"/>
              <w:noProof/>
              <w:color w:val="auto"/>
              <w:kern w:val="2"/>
              <w:sz w:val="24"/>
              <w:szCs w:val="24"/>
              <w:lang w:eastAsia="en-GB"/>
              <w14:ligatures w14:val="standardContextual"/>
            </w:rPr>
          </w:pPr>
          <w:hyperlink w:history="1" w:anchor="_Toc223413813">
            <w:r w:rsidRPr="00FE4C7A">
              <w:rPr>
                <w:rStyle w:val="Hyperlink"/>
                <w:noProof/>
              </w:rPr>
              <w:t>Box 3.9. Croatia - Introduction of a Public Services Catalogue</w:t>
            </w:r>
            <w:r>
              <w:rPr>
                <w:noProof/>
                <w:webHidden/>
              </w:rPr>
              <w:tab/>
            </w:r>
            <w:r>
              <w:rPr>
                <w:noProof/>
                <w:webHidden/>
              </w:rPr>
              <w:fldChar w:fldCharType="begin"/>
            </w:r>
            <w:r>
              <w:rPr>
                <w:noProof/>
                <w:webHidden/>
              </w:rPr>
              <w:instrText xml:space="preserve"> PAGEREF _Toc223413813 \h </w:instrText>
            </w:r>
            <w:r>
              <w:rPr>
                <w:noProof/>
                <w:webHidden/>
              </w:rPr>
            </w:r>
            <w:r>
              <w:rPr>
                <w:noProof/>
                <w:webHidden/>
              </w:rPr>
              <w:fldChar w:fldCharType="separate"/>
            </w:r>
            <w:r w:rsidR="00543B3D">
              <w:rPr>
                <w:noProof/>
                <w:webHidden/>
              </w:rPr>
              <w:t>48</w:t>
            </w:r>
            <w:r>
              <w:rPr>
                <w:noProof/>
                <w:webHidden/>
              </w:rPr>
              <w:fldChar w:fldCharType="end"/>
            </w:r>
          </w:hyperlink>
        </w:p>
        <w:p w:rsidR="0029466E" w:rsidRDefault="0029466E" w14:paraId="09F5E163" w14:textId="27261F9E">
          <w:pPr>
            <w:pStyle w:val="TableofFigures"/>
            <w:rPr>
              <w:rFonts w:eastAsiaTheme="minorEastAsia"/>
              <w:noProof/>
              <w:color w:val="auto"/>
              <w:kern w:val="2"/>
              <w:sz w:val="24"/>
              <w:szCs w:val="24"/>
              <w:lang w:eastAsia="en-GB"/>
              <w14:ligatures w14:val="standardContextual"/>
            </w:rPr>
          </w:pPr>
          <w:hyperlink w:history="1" w:anchor="_Toc223413814">
            <w:r w:rsidRPr="00FE4C7A">
              <w:rPr>
                <w:rStyle w:val="Hyperlink"/>
                <w:noProof/>
              </w:rPr>
              <w:t>Box 3.10. Ireland - The Public Services Innovation Fund</w:t>
            </w:r>
            <w:r>
              <w:rPr>
                <w:noProof/>
                <w:webHidden/>
              </w:rPr>
              <w:tab/>
            </w:r>
            <w:r>
              <w:rPr>
                <w:noProof/>
                <w:webHidden/>
              </w:rPr>
              <w:fldChar w:fldCharType="begin"/>
            </w:r>
            <w:r>
              <w:rPr>
                <w:noProof/>
                <w:webHidden/>
              </w:rPr>
              <w:instrText xml:space="preserve"> PAGEREF _Toc223413814 \h </w:instrText>
            </w:r>
            <w:r>
              <w:rPr>
                <w:noProof/>
                <w:webHidden/>
              </w:rPr>
            </w:r>
            <w:r>
              <w:rPr>
                <w:noProof/>
                <w:webHidden/>
              </w:rPr>
              <w:fldChar w:fldCharType="separate"/>
            </w:r>
            <w:r w:rsidR="00543B3D">
              <w:rPr>
                <w:noProof/>
                <w:webHidden/>
              </w:rPr>
              <w:t>48</w:t>
            </w:r>
            <w:r>
              <w:rPr>
                <w:noProof/>
                <w:webHidden/>
              </w:rPr>
              <w:fldChar w:fldCharType="end"/>
            </w:r>
          </w:hyperlink>
        </w:p>
        <w:p w:rsidR="0029466E" w:rsidRDefault="0029466E" w14:paraId="38D4543A" w14:textId="629021DC">
          <w:pPr>
            <w:pStyle w:val="TableofFigures"/>
            <w:rPr>
              <w:rFonts w:eastAsiaTheme="minorEastAsia"/>
              <w:noProof/>
              <w:color w:val="auto"/>
              <w:kern w:val="2"/>
              <w:sz w:val="24"/>
              <w:szCs w:val="24"/>
              <w:lang w:eastAsia="en-GB"/>
              <w14:ligatures w14:val="standardContextual"/>
            </w:rPr>
          </w:pPr>
          <w:hyperlink w:history="1" w:anchor="_Toc223413815">
            <w:r w:rsidRPr="00FE4C7A">
              <w:rPr>
                <w:rStyle w:val="Hyperlink"/>
                <w:noProof/>
              </w:rPr>
              <w:t>Box 3.11. Austria – Once-Only Platform</w:t>
            </w:r>
            <w:r>
              <w:rPr>
                <w:noProof/>
                <w:webHidden/>
              </w:rPr>
              <w:tab/>
            </w:r>
            <w:r>
              <w:rPr>
                <w:noProof/>
                <w:webHidden/>
              </w:rPr>
              <w:fldChar w:fldCharType="begin"/>
            </w:r>
            <w:r>
              <w:rPr>
                <w:noProof/>
                <w:webHidden/>
              </w:rPr>
              <w:instrText xml:space="preserve"> PAGEREF _Toc223413815 \h </w:instrText>
            </w:r>
            <w:r>
              <w:rPr>
                <w:noProof/>
                <w:webHidden/>
              </w:rPr>
            </w:r>
            <w:r>
              <w:rPr>
                <w:noProof/>
                <w:webHidden/>
              </w:rPr>
              <w:fldChar w:fldCharType="separate"/>
            </w:r>
            <w:r w:rsidR="00543B3D">
              <w:rPr>
                <w:noProof/>
                <w:webHidden/>
              </w:rPr>
              <w:t>50</w:t>
            </w:r>
            <w:r>
              <w:rPr>
                <w:noProof/>
                <w:webHidden/>
              </w:rPr>
              <w:fldChar w:fldCharType="end"/>
            </w:r>
          </w:hyperlink>
        </w:p>
        <w:p w:rsidR="0029466E" w:rsidRDefault="0029466E" w14:paraId="44B016ED" w14:textId="378BE4C4">
          <w:pPr>
            <w:pStyle w:val="TableofFigures"/>
            <w:rPr>
              <w:rFonts w:eastAsiaTheme="minorEastAsia"/>
              <w:noProof/>
              <w:color w:val="auto"/>
              <w:kern w:val="2"/>
              <w:sz w:val="24"/>
              <w:szCs w:val="24"/>
              <w:lang w:eastAsia="en-GB"/>
              <w14:ligatures w14:val="standardContextual"/>
            </w:rPr>
          </w:pPr>
          <w:hyperlink w:history="1" w:anchor="_Toc223413816">
            <w:r w:rsidRPr="00FE4C7A">
              <w:rPr>
                <w:rStyle w:val="Hyperlink"/>
                <w:noProof/>
              </w:rPr>
              <w:t>Box 3.12. Estonia - Simplification via platform technology and digital integration (X road and Once-Only)</w:t>
            </w:r>
            <w:r>
              <w:rPr>
                <w:noProof/>
                <w:webHidden/>
              </w:rPr>
              <w:tab/>
            </w:r>
            <w:r>
              <w:rPr>
                <w:noProof/>
                <w:webHidden/>
              </w:rPr>
              <w:fldChar w:fldCharType="begin"/>
            </w:r>
            <w:r>
              <w:rPr>
                <w:noProof/>
                <w:webHidden/>
              </w:rPr>
              <w:instrText xml:space="preserve"> PAGEREF _Toc223413816 \h </w:instrText>
            </w:r>
            <w:r>
              <w:rPr>
                <w:noProof/>
                <w:webHidden/>
              </w:rPr>
            </w:r>
            <w:r>
              <w:rPr>
                <w:noProof/>
                <w:webHidden/>
              </w:rPr>
              <w:fldChar w:fldCharType="separate"/>
            </w:r>
            <w:r w:rsidR="00543B3D">
              <w:rPr>
                <w:noProof/>
                <w:webHidden/>
              </w:rPr>
              <w:t>51</w:t>
            </w:r>
            <w:r>
              <w:rPr>
                <w:noProof/>
                <w:webHidden/>
              </w:rPr>
              <w:fldChar w:fldCharType="end"/>
            </w:r>
          </w:hyperlink>
        </w:p>
        <w:p w:rsidR="0029466E" w:rsidRDefault="0029466E" w14:paraId="326C647B" w14:textId="3A565B16">
          <w:pPr>
            <w:pStyle w:val="TableofFigures"/>
            <w:rPr>
              <w:rFonts w:eastAsiaTheme="minorEastAsia"/>
              <w:noProof/>
              <w:color w:val="auto"/>
              <w:kern w:val="2"/>
              <w:sz w:val="24"/>
              <w:szCs w:val="24"/>
              <w:lang w:eastAsia="en-GB"/>
              <w14:ligatures w14:val="standardContextual"/>
            </w:rPr>
          </w:pPr>
          <w:hyperlink w:history="1" w:anchor="_Toc223413817">
            <w:r w:rsidRPr="00FE4C7A">
              <w:rPr>
                <w:rStyle w:val="Hyperlink"/>
                <w:noProof/>
              </w:rPr>
              <w:t>Box 3.13. Spain - Development of one single portal for citizen’s official data</w:t>
            </w:r>
            <w:r>
              <w:rPr>
                <w:noProof/>
                <w:webHidden/>
              </w:rPr>
              <w:tab/>
            </w:r>
            <w:r>
              <w:rPr>
                <w:noProof/>
                <w:webHidden/>
              </w:rPr>
              <w:fldChar w:fldCharType="begin"/>
            </w:r>
            <w:r>
              <w:rPr>
                <w:noProof/>
                <w:webHidden/>
              </w:rPr>
              <w:instrText xml:space="preserve"> PAGEREF _Toc223413817 \h </w:instrText>
            </w:r>
            <w:r>
              <w:rPr>
                <w:noProof/>
                <w:webHidden/>
              </w:rPr>
            </w:r>
            <w:r>
              <w:rPr>
                <w:noProof/>
                <w:webHidden/>
              </w:rPr>
              <w:fldChar w:fldCharType="separate"/>
            </w:r>
            <w:r w:rsidR="00543B3D">
              <w:rPr>
                <w:noProof/>
                <w:webHidden/>
              </w:rPr>
              <w:t>54</w:t>
            </w:r>
            <w:r>
              <w:rPr>
                <w:noProof/>
                <w:webHidden/>
              </w:rPr>
              <w:fldChar w:fldCharType="end"/>
            </w:r>
          </w:hyperlink>
        </w:p>
        <w:p w:rsidR="0029466E" w:rsidRDefault="0029466E" w14:paraId="0357891F" w14:textId="4ACC524F">
          <w:pPr>
            <w:pStyle w:val="TableofFigures"/>
            <w:rPr>
              <w:rFonts w:eastAsiaTheme="minorEastAsia"/>
              <w:noProof/>
              <w:color w:val="auto"/>
              <w:kern w:val="2"/>
              <w:sz w:val="24"/>
              <w:szCs w:val="24"/>
              <w:lang w:eastAsia="en-GB"/>
              <w14:ligatures w14:val="standardContextual"/>
            </w:rPr>
          </w:pPr>
          <w:hyperlink w:history="1" w:anchor="_Toc223413818">
            <w:r w:rsidRPr="00FE4C7A">
              <w:rPr>
                <w:rStyle w:val="Hyperlink"/>
                <w:noProof/>
              </w:rPr>
              <w:t>Box 3.14. Latvia - Register of Enterprises</w:t>
            </w:r>
            <w:r>
              <w:rPr>
                <w:noProof/>
                <w:webHidden/>
              </w:rPr>
              <w:tab/>
            </w:r>
            <w:r>
              <w:rPr>
                <w:noProof/>
                <w:webHidden/>
              </w:rPr>
              <w:fldChar w:fldCharType="begin"/>
            </w:r>
            <w:r>
              <w:rPr>
                <w:noProof/>
                <w:webHidden/>
              </w:rPr>
              <w:instrText xml:space="preserve"> PAGEREF _Toc223413818 \h </w:instrText>
            </w:r>
            <w:r>
              <w:rPr>
                <w:noProof/>
                <w:webHidden/>
              </w:rPr>
            </w:r>
            <w:r>
              <w:rPr>
                <w:noProof/>
                <w:webHidden/>
              </w:rPr>
              <w:fldChar w:fldCharType="separate"/>
            </w:r>
            <w:r w:rsidR="00543B3D">
              <w:rPr>
                <w:noProof/>
                <w:webHidden/>
              </w:rPr>
              <w:t>54</w:t>
            </w:r>
            <w:r>
              <w:rPr>
                <w:noProof/>
                <w:webHidden/>
              </w:rPr>
              <w:fldChar w:fldCharType="end"/>
            </w:r>
          </w:hyperlink>
        </w:p>
        <w:p w:rsidR="0029466E" w:rsidRDefault="0029466E" w14:paraId="503413D9" w14:textId="5CB462E0">
          <w:pPr>
            <w:pStyle w:val="TableofFigures"/>
            <w:rPr>
              <w:rFonts w:eastAsiaTheme="minorEastAsia"/>
              <w:noProof/>
              <w:color w:val="auto"/>
              <w:kern w:val="2"/>
              <w:sz w:val="24"/>
              <w:szCs w:val="24"/>
              <w:lang w:eastAsia="en-GB"/>
              <w14:ligatures w14:val="standardContextual"/>
            </w:rPr>
          </w:pPr>
          <w:hyperlink w:history="1" w:anchor="_Toc223413819">
            <w:r w:rsidRPr="00FE4C7A">
              <w:rPr>
                <w:rStyle w:val="Hyperlink"/>
                <w:noProof/>
              </w:rPr>
              <w:t>Box 3.15. Estonia - Losing a Loved One</w:t>
            </w:r>
            <w:r>
              <w:rPr>
                <w:noProof/>
                <w:webHidden/>
              </w:rPr>
              <w:tab/>
            </w:r>
            <w:r>
              <w:rPr>
                <w:noProof/>
                <w:webHidden/>
              </w:rPr>
              <w:fldChar w:fldCharType="begin"/>
            </w:r>
            <w:r>
              <w:rPr>
                <w:noProof/>
                <w:webHidden/>
              </w:rPr>
              <w:instrText xml:space="preserve"> PAGEREF _Toc223413819 \h </w:instrText>
            </w:r>
            <w:r>
              <w:rPr>
                <w:noProof/>
                <w:webHidden/>
              </w:rPr>
            </w:r>
            <w:r>
              <w:rPr>
                <w:noProof/>
                <w:webHidden/>
              </w:rPr>
              <w:fldChar w:fldCharType="separate"/>
            </w:r>
            <w:r w:rsidR="00543B3D">
              <w:rPr>
                <w:noProof/>
                <w:webHidden/>
              </w:rPr>
              <w:t>55</w:t>
            </w:r>
            <w:r>
              <w:rPr>
                <w:noProof/>
                <w:webHidden/>
              </w:rPr>
              <w:fldChar w:fldCharType="end"/>
            </w:r>
          </w:hyperlink>
        </w:p>
        <w:p w:rsidR="0029466E" w:rsidRDefault="0029466E" w14:paraId="78EA3E66" w14:textId="73C61587">
          <w:pPr>
            <w:pStyle w:val="TableofFigures"/>
            <w:rPr>
              <w:rFonts w:eastAsiaTheme="minorEastAsia"/>
              <w:noProof/>
              <w:color w:val="auto"/>
              <w:kern w:val="2"/>
              <w:sz w:val="24"/>
              <w:szCs w:val="24"/>
              <w:lang w:eastAsia="en-GB"/>
              <w14:ligatures w14:val="standardContextual"/>
            </w:rPr>
          </w:pPr>
          <w:hyperlink w:history="1" w:anchor="_Toc223413820">
            <w:r w:rsidRPr="00FE4C7A">
              <w:rPr>
                <w:rStyle w:val="Hyperlink"/>
                <w:noProof/>
              </w:rPr>
              <w:t>Box 3.16. Spain - Losing a Loved One</w:t>
            </w:r>
            <w:r>
              <w:rPr>
                <w:noProof/>
                <w:webHidden/>
              </w:rPr>
              <w:tab/>
            </w:r>
            <w:r>
              <w:rPr>
                <w:noProof/>
                <w:webHidden/>
              </w:rPr>
              <w:fldChar w:fldCharType="begin"/>
            </w:r>
            <w:r>
              <w:rPr>
                <w:noProof/>
                <w:webHidden/>
              </w:rPr>
              <w:instrText xml:space="preserve"> PAGEREF _Toc223413820 \h </w:instrText>
            </w:r>
            <w:r>
              <w:rPr>
                <w:noProof/>
                <w:webHidden/>
              </w:rPr>
            </w:r>
            <w:r>
              <w:rPr>
                <w:noProof/>
                <w:webHidden/>
              </w:rPr>
              <w:fldChar w:fldCharType="separate"/>
            </w:r>
            <w:r w:rsidR="00543B3D">
              <w:rPr>
                <w:noProof/>
                <w:webHidden/>
              </w:rPr>
              <w:t>56</w:t>
            </w:r>
            <w:r>
              <w:rPr>
                <w:noProof/>
                <w:webHidden/>
              </w:rPr>
              <w:fldChar w:fldCharType="end"/>
            </w:r>
          </w:hyperlink>
        </w:p>
        <w:p w:rsidR="0029466E" w:rsidRDefault="0029466E" w14:paraId="4D68D5B3" w14:textId="32823F30">
          <w:pPr>
            <w:pStyle w:val="TableofFigures"/>
            <w:rPr>
              <w:rFonts w:eastAsiaTheme="minorEastAsia"/>
              <w:noProof/>
              <w:color w:val="auto"/>
              <w:kern w:val="2"/>
              <w:sz w:val="24"/>
              <w:szCs w:val="24"/>
              <w:lang w:eastAsia="en-GB"/>
              <w14:ligatures w14:val="standardContextual"/>
            </w:rPr>
          </w:pPr>
          <w:hyperlink w:history="1" w:anchor="_Toc223413821">
            <w:r w:rsidRPr="00FE4C7A">
              <w:rPr>
                <w:rStyle w:val="Hyperlink"/>
                <w:noProof/>
              </w:rPr>
              <w:t>Box 3.17. Finland – Losing a loved one</w:t>
            </w:r>
            <w:r>
              <w:rPr>
                <w:noProof/>
                <w:webHidden/>
              </w:rPr>
              <w:tab/>
            </w:r>
            <w:r>
              <w:rPr>
                <w:noProof/>
                <w:webHidden/>
              </w:rPr>
              <w:fldChar w:fldCharType="begin"/>
            </w:r>
            <w:r>
              <w:rPr>
                <w:noProof/>
                <w:webHidden/>
              </w:rPr>
              <w:instrText xml:space="preserve"> PAGEREF _Toc223413821 \h </w:instrText>
            </w:r>
            <w:r>
              <w:rPr>
                <w:noProof/>
                <w:webHidden/>
              </w:rPr>
            </w:r>
            <w:r>
              <w:rPr>
                <w:noProof/>
                <w:webHidden/>
              </w:rPr>
              <w:fldChar w:fldCharType="separate"/>
            </w:r>
            <w:r w:rsidR="00543B3D">
              <w:rPr>
                <w:noProof/>
                <w:webHidden/>
              </w:rPr>
              <w:t>57</w:t>
            </w:r>
            <w:r>
              <w:rPr>
                <w:noProof/>
                <w:webHidden/>
              </w:rPr>
              <w:fldChar w:fldCharType="end"/>
            </w:r>
          </w:hyperlink>
        </w:p>
        <w:p w:rsidR="0029466E" w:rsidRDefault="0029466E" w14:paraId="49DB1D9A" w14:textId="3C5210C5">
          <w:pPr>
            <w:pStyle w:val="TableofFigures"/>
            <w:rPr>
              <w:rFonts w:eastAsiaTheme="minorEastAsia"/>
              <w:noProof/>
              <w:color w:val="auto"/>
              <w:kern w:val="2"/>
              <w:sz w:val="24"/>
              <w:szCs w:val="24"/>
              <w:lang w:eastAsia="en-GB"/>
              <w14:ligatures w14:val="standardContextual"/>
            </w:rPr>
          </w:pPr>
          <w:hyperlink w:history="1" w:anchor="_Toc223413822">
            <w:r w:rsidRPr="00FE4C7A">
              <w:rPr>
                <w:rStyle w:val="Hyperlink"/>
                <w:noProof/>
              </w:rPr>
              <w:t>Box 4.1. Applying risk-based approaches for simplification</w:t>
            </w:r>
            <w:r>
              <w:rPr>
                <w:noProof/>
                <w:webHidden/>
              </w:rPr>
              <w:tab/>
            </w:r>
            <w:r>
              <w:rPr>
                <w:noProof/>
                <w:webHidden/>
              </w:rPr>
              <w:fldChar w:fldCharType="begin"/>
            </w:r>
            <w:r>
              <w:rPr>
                <w:noProof/>
                <w:webHidden/>
              </w:rPr>
              <w:instrText xml:space="preserve"> PAGEREF _Toc223413822 \h </w:instrText>
            </w:r>
            <w:r>
              <w:rPr>
                <w:noProof/>
                <w:webHidden/>
              </w:rPr>
            </w:r>
            <w:r>
              <w:rPr>
                <w:noProof/>
                <w:webHidden/>
              </w:rPr>
              <w:fldChar w:fldCharType="separate"/>
            </w:r>
            <w:r w:rsidR="00543B3D">
              <w:rPr>
                <w:noProof/>
                <w:webHidden/>
              </w:rPr>
              <w:t>63</w:t>
            </w:r>
            <w:r>
              <w:rPr>
                <w:noProof/>
                <w:webHidden/>
              </w:rPr>
              <w:fldChar w:fldCharType="end"/>
            </w:r>
          </w:hyperlink>
        </w:p>
        <w:p w:rsidR="0029466E" w:rsidRDefault="0029466E" w14:paraId="760B7429" w14:textId="225B82AD">
          <w:pPr>
            <w:pStyle w:val="TableofFigures"/>
            <w:rPr>
              <w:rFonts w:eastAsiaTheme="minorEastAsia"/>
              <w:noProof/>
              <w:color w:val="auto"/>
              <w:kern w:val="2"/>
              <w:sz w:val="24"/>
              <w:szCs w:val="24"/>
              <w:lang w:eastAsia="en-GB"/>
              <w14:ligatures w14:val="standardContextual"/>
            </w:rPr>
          </w:pPr>
          <w:hyperlink w:history="1" w:anchor="_Toc223413823">
            <w:r w:rsidRPr="00FE4C7A">
              <w:rPr>
                <w:rStyle w:val="Hyperlink"/>
                <w:noProof/>
              </w:rPr>
              <w:t>Box 4.2. Spain - Simplification initiatives</w:t>
            </w:r>
            <w:r>
              <w:rPr>
                <w:noProof/>
                <w:webHidden/>
              </w:rPr>
              <w:tab/>
            </w:r>
            <w:r>
              <w:rPr>
                <w:noProof/>
                <w:webHidden/>
              </w:rPr>
              <w:fldChar w:fldCharType="begin"/>
            </w:r>
            <w:r>
              <w:rPr>
                <w:noProof/>
                <w:webHidden/>
              </w:rPr>
              <w:instrText xml:space="preserve"> PAGEREF _Toc223413823 \h </w:instrText>
            </w:r>
            <w:r>
              <w:rPr>
                <w:noProof/>
                <w:webHidden/>
              </w:rPr>
            </w:r>
            <w:r>
              <w:rPr>
                <w:noProof/>
                <w:webHidden/>
              </w:rPr>
              <w:fldChar w:fldCharType="separate"/>
            </w:r>
            <w:r w:rsidR="00543B3D">
              <w:rPr>
                <w:noProof/>
                <w:webHidden/>
              </w:rPr>
              <w:t>64</w:t>
            </w:r>
            <w:r>
              <w:rPr>
                <w:noProof/>
                <w:webHidden/>
              </w:rPr>
              <w:fldChar w:fldCharType="end"/>
            </w:r>
          </w:hyperlink>
        </w:p>
        <w:p w:rsidR="0029466E" w:rsidRDefault="0029466E" w14:paraId="30743338" w14:textId="3CFBF992">
          <w:pPr>
            <w:pStyle w:val="TableofFigures"/>
            <w:rPr>
              <w:rFonts w:eastAsiaTheme="minorEastAsia"/>
              <w:noProof/>
              <w:color w:val="auto"/>
              <w:kern w:val="2"/>
              <w:sz w:val="24"/>
              <w:szCs w:val="24"/>
              <w:lang w:eastAsia="en-GB"/>
              <w14:ligatures w14:val="standardContextual"/>
            </w:rPr>
          </w:pPr>
          <w:hyperlink w:history="1" w:anchor="_Toc223413824">
            <w:r w:rsidRPr="00FE4C7A">
              <w:rPr>
                <w:rStyle w:val="Hyperlink"/>
                <w:noProof/>
              </w:rPr>
              <w:t>Box 4.3. Slovenia - ‘Stop Bureaucracy’ Portal</w:t>
            </w:r>
            <w:r>
              <w:rPr>
                <w:noProof/>
                <w:webHidden/>
              </w:rPr>
              <w:tab/>
            </w:r>
            <w:r>
              <w:rPr>
                <w:noProof/>
                <w:webHidden/>
              </w:rPr>
              <w:fldChar w:fldCharType="begin"/>
            </w:r>
            <w:r>
              <w:rPr>
                <w:noProof/>
                <w:webHidden/>
              </w:rPr>
              <w:instrText xml:space="preserve"> PAGEREF _Toc223413824 \h </w:instrText>
            </w:r>
            <w:r>
              <w:rPr>
                <w:noProof/>
                <w:webHidden/>
              </w:rPr>
            </w:r>
            <w:r>
              <w:rPr>
                <w:noProof/>
                <w:webHidden/>
              </w:rPr>
              <w:fldChar w:fldCharType="separate"/>
            </w:r>
            <w:r w:rsidR="00543B3D">
              <w:rPr>
                <w:noProof/>
                <w:webHidden/>
              </w:rPr>
              <w:t>65</w:t>
            </w:r>
            <w:r>
              <w:rPr>
                <w:noProof/>
                <w:webHidden/>
              </w:rPr>
              <w:fldChar w:fldCharType="end"/>
            </w:r>
          </w:hyperlink>
        </w:p>
        <w:p w:rsidR="0029466E" w:rsidRDefault="0029466E" w14:paraId="74DDBB97" w14:textId="4F1EF062">
          <w:pPr>
            <w:pStyle w:val="TableofFigures"/>
            <w:rPr>
              <w:rFonts w:eastAsiaTheme="minorEastAsia"/>
              <w:noProof/>
              <w:color w:val="auto"/>
              <w:kern w:val="2"/>
              <w:sz w:val="24"/>
              <w:szCs w:val="24"/>
              <w:lang w:eastAsia="en-GB"/>
              <w14:ligatures w14:val="standardContextual"/>
            </w:rPr>
          </w:pPr>
          <w:hyperlink w:history="1" w:anchor="_Toc223413825">
            <w:r w:rsidRPr="00FE4C7A">
              <w:rPr>
                <w:rStyle w:val="Hyperlink"/>
                <w:noProof/>
              </w:rPr>
              <w:t>Box 4.4. Estonia - Learning from Estonia’s strategy to embed simplicity in public service design</w:t>
            </w:r>
            <w:r>
              <w:rPr>
                <w:noProof/>
                <w:webHidden/>
              </w:rPr>
              <w:tab/>
            </w:r>
            <w:r>
              <w:rPr>
                <w:noProof/>
                <w:webHidden/>
              </w:rPr>
              <w:fldChar w:fldCharType="begin"/>
            </w:r>
            <w:r>
              <w:rPr>
                <w:noProof/>
                <w:webHidden/>
              </w:rPr>
              <w:instrText xml:space="preserve"> PAGEREF _Toc223413825 \h </w:instrText>
            </w:r>
            <w:r>
              <w:rPr>
                <w:noProof/>
                <w:webHidden/>
              </w:rPr>
            </w:r>
            <w:r>
              <w:rPr>
                <w:noProof/>
                <w:webHidden/>
              </w:rPr>
              <w:fldChar w:fldCharType="separate"/>
            </w:r>
            <w:r w:rsidR="00543B3D">
              <w:rPr>
                <w:noProof/>
                <w:webHidden/>
              </w:rPr>
              <w:t>65</w:t>
            </w:r>
            <w:r>
              <w:rPr>
                <w:noProof/>
                <w:webHidden/>
              </w:rPr>
              <w:fldChar w:fldCharType="end"/>
            </w:r>
          </w:hyperlink>
        </w:p>
        <w:p w:rsidR="0029466E" w:rsidRDefault="0029466E" w14:paraId="79727E4C" w14:textId="10EC15DB">
          <w:pPr>
            <w:pStyle w:val="TableofFigures"/>
            <w:rPr>
              <w:rFonts w:eastAsiaTheme="minorEastAsia"/>
              <w:noProof/>
              <w:color w:val="auto"/>
              <w:kern w:val="2"/>
              <w:sz w:val="24"/>
              <w:szCs w:val="24"/>
              <w:lang w:eastAsia="en-GB"/>
              <w14:ligatures w14:val="standardContextual"/>
            </w:rPr>
          </w:pPr>
          <w:hyperlink w:history="1" w:anchor="_Toc223413826">
            <w:r w:rsidRPr="00FE4C7A">
              <w:rPr>
                <w:rStyle w:val="Hyperlink"/>
                <w:noProof/>
              </w:rPr>
              <w:t>Box 4.5. Ireland - Shift to Life Events for simple services</w:t>
            </w:r>
            <w:r>
              <w:rPr>
                <w:noProof/>
                <w:webHidden/>
              </w:rPr>
              <w:tab/>
            </w:r>
            <w:r>
              <w:rPr>
                <w:noProof/>
                <w:webHidden/>
              </w:rPr>
              <w:fldChar w:fldCharType="begin"/>
            </w:r>
            <w:r>
              <w:rPr>
                <w:noProof/>
                <w:webHidden/>
              </w:rPr>
              <w:instrText xml:space="preserve"> PAGEREF _Toc223413826 \h </w:instrText>
            </w:r>
            <w:r>
              <w:rPr>
                <w:noProof/>
                <w:webHidden/>
              </w:rPr>
            </w:r>
            <w:r>
              <w:rPr>
                <w:noProof/>
                <w:webHidden/>
              </w:rPr>
              <w:fldChar w:fldCharType="separate"/>
            </w:r>
            <w:r w:rsidR="00543B3D">
              <w:rPr>
                <w:noProof/>
                <w:webHidden/>
              </w:rPr>
              <w:t>66</w:t>
            </w:r>
            <w:r>
              <w:rPr>
                <w:noProof/>
                <w:webHidden/>
              </w:rPr>
              <w:fldChar w:fldCharType="end"/>
            </w:r>
          </w:hyperlink>
        </w:p>
        <w:p w:rsidR="0029466E" w:rsidRDefault="0029466E" w14:paraId="38641FEC" w14:textId="7CC2B279">
          <w:pPr>
            <w:pStyle w:val="TableofFigures"/>
            <w:rPr>
              <w:rFonts w:eastAsiaTheme="minorEastAsia"/>
              <w:noProof/>
              <w:color w:val="auto"/>
              <w:kern w:val="2"/>
              <w:sz w:val="24"/>
              <w:szCs w:val="24"/>
              <w:lang w:eastAsia="en-GB"/>
              <w14:ligatures w14:val="standardContextual"/>
            </w:rPr>
          </w:pPr>
          <w:hyperlink w:history="1" w:anchor="_Toc223413827">
            <w:r w:rsidRPr="00FE4C7A">
              <w:rPr>
                <w:rStyle w:val="Hyperlink"/>
                <w:noProof/>
              </w:rPr>
              <w:t xml:space="preserve">Box 4.6. </w:t>
            </w:r>
            <w:r w:rsidRPr="00FE4C7A">
              <w:rPr>
                <w:rStyle w:val="Hyperlink"/>
                <w:noProof/>
                <w:lang w:val="en-US"/>
              </w:rPr>
              <w:t>Lithuania - State Tax Inspectorate and its innovative e-services and digital transformation strategy</w:t>
            </w:r>
            <w:r>
              <w:rPr>
                <w:noProof/>
                <w:webHidden/>
              </w:rPr>
              <w:tab/>
            </w:r>
            <w:r>
              <w:rPr>
                <w:noProof/>
                <w:webHidden/>
              </w:rPr>
              <w:fldChar w:fldCharType="begin"/>
            </w:r>
            <w:r>
              <w:rPr>
                <w:noProof/>
                <w:webHidden/>
              </w:rPr>
              <w:instrText xml:space="preserve"> PAGEREF _Toc223413827 \h </w:instrText>
            </w:r>
            <w:r>
              <w:rPr>
                <w:noProof/>
                <w:webHidden/>
              </w:rPr>
            </w:r>
            <w:r>
              <w:rPr>
                <w:noProof/>
                <w:webHidden/>
              </w:rPr>
              <w:fldChar w:fldCharType="separate"/>
            </w:r>
            <w:r w:rsidR="00543B3D">
              <w:rPr>
                <w:noProof/>
                <w:webHidden/>
              </w:rPr>
              <w:t>67</w:t>
            </w:r>
            <w:r>
              <w:rPr>
                <w:noProof/>
                <w:webHidden/>
              </w:rPr>
              <w:fldChar w:fldCharType="end"/>
            </w:r>
          </w:hyperlink>
        </w:p>
        <w:p w:rsidR="0029466E" w:rsidRDefault="0029466E" w14:paraId="74297361" w14:textId="1282ABFE">
          <w:pPr>
            <w:pStyle w:val="TableofFigures"/>
            <w:rPr>
              <w:rFonts w:eastAsiaTheme="minorEastAsia"/>
              <w:noProof/>
              <w:color w:val="auto"/>
              <w:kern w:val="2"/>
              <w:sz w:val="24"/>
              <w:szCs w:val="24"/>
              <w:lang w:eastAsia="en-GB"/>
              <w14:ligatures w14:val="standardContextual"/>
            </w:rPr>
          </w:pPr>
          <w:hyperlink w:history="1" w:anchor="_Toc223413828">
            <w:r w:rsidRPr="00FE4C7A">
              <w:rPr>
                <w:rStyle w:val="Hyperlink"/>
                <w:noProof/>
              </w:rPr>
              <w:t>Box 4.7. Croatia - Clear definition of processing times for ID cards</w:t>
            </w:r>
            <w:r>
              <w:rPr>
                <w:noProof/>
                <w:webHidden/>
              </w:rPr>
              <w:tab/>
            </w:r>
            <w:r>
              <w:rPr>
                <w:noProof/>
                <w:webHidden/>
              </w:rPr>
              <w:fldChar w:fldCharType="begin"/>
            </w:r>
            <w:r>
              <w:rPr>
                <w:noProof/>
                <w:webHidden/>
              </w:rPr>
              <w:instrText xml:space="preserve"> PAGEREF _Toc223413828 \h </w:instrText>
            </w:r>
            <w:r>
              <w:rPr>
                <w:noProof/>
                <w:webHidden/>
              </w:rPr>
            </w:r>
            <w:r>
              <w:rPr>
                <w:noProof/>
                <w:webHidden/>
              </w:rPr>
              <w:fldChar w:fldCharType="separate"/>
            </w:r>
            <w:r w:rsidR="00543B3D">
              <w:rPr>
                <w:noProof/>
                <w:webHidden/>
              </w:rPr>
              <w:t>70</w:t>
            </w:r>
            <w:r>
              <w:rPr>
                <w:noProof/>
                <w:webHidden/>
              </w:rPr>
              <w:fldChar w:fldCharType="end"/>
            </w:r>
          </w:hyperlink>
        </w:p>
        <w:p w:rsidR="0029466E" w:rsidRDefault="0029466E" w14:paraId="753C377D" w14:textId="1CAE428D">
          <w:pPr>
            <w:pStyle w:val="TableofFigures"/>
            <w:rPr>
              <w:rFonts w:eastAsiaTheme="minorEastAsia"/>
              <w:noProof/>
              <w:color w:val="auto"/>
              <w:kern w:val="2"/>
              <w:sz w:val="24"/>
              <w:szCs w:val="24"/>
              <w:lang w:eastAsia="en-GB"/>
              <w14:ligatures w14:val="standardContextual"/>
            </w:rPr>
          </w:pPr>
          <w:hyperlink w:history="1" w:anchor="_Toc223413829">
            <w:r w:rsidRPr="00FE4C7A">
              <w:rPr>
                <w:rStyle w:val="Hyperlink"/>
                <w:noProof/>
              </w:rPr>
              <w:t>Box </w:t>
            </w:r>
            <w:r w:rsidRPr="00FE4C7A">
              <w:rPr>
                <w:rStyle w:val="Hyperlink"/>
                <w:rFonts w:hint="eastAsia"/>
                <w:noProof/>
                <w:cs/>
              </w:rPr>
              <w:t>‎</w:t>
            </w:r>
            <w:r w:rsidRPr="00FE4C7A">
              <w:rPr>
                <w:rStyle w:val="Hyperlink"/>
                <w:noProof/>
              </w:rPr>
              <w:t>4.8. Finland - Service design and delivery for vulnerable groups</w:t>
            </w:r>
            <w:r>
              <w:rPr>
                <w:noProof/>
                <w:webHidden/>
              </w:rPr>
              <w:tab/>
            </w:r>
            <w:r>
              <w:rPr>
                <w:noProof/>
                <w:webHidden/>
              </w:rPr>
              <w:fldChar w:fldCharType="begin"/>
            </w:r>
            <w:r>
              <w:rPr>
                <w:noProof/>
                <w:webHidden/>
              </w:rPr>
              <w:instrText xml:space="preserve"> PAGEREF _Toc223413829 \h </w:instrText>
            </w:r>
            <w:r>
              <w:rPr>
                <w:noProof/>
                <w:webHidden/>
              </w:rPr>
            </w:r>
            <w:r>
              <w:rPr>
                <w:noProof/>
                <w:webHidden/>
              </w:rPr>
              <w:fldChar w:fldCharType="separate"/>
            </w:r>
            <w:r w:rsidR="00543B3D">
              <w:rPr>
                <w:noProof/>
                <w:webHidden/>
              </w:rPr>
              <w:t>73</w:t>
            </w:r>
            <w:r>
              <w:rPr>
                <w:noProof/>
                <w:webHidden/>
              </w:rPr>
              <w:fldChar w:fldCharType="end"/>
            </w:r>
          </w:hyperlink>
        </w:p>
        <w:p w:rsidR="0029466E" w:rsidRDefault="0029466E" w14:paraId="22299BF1" w14:textId="691BB0AB">
          <w:pPr>
            <w:pStyle w:val="TableofFigures"/>
            <w:rPr>
              <w:rFonts w:eastAsiaTheme="minorEastAsia"/>
              <w:noProof/>
              <w:color w:val="auto"/>
              <w:kern w:val="2"/>
              <w:sz w:val="24"/>
              <w:szCs w:val="24"/>
              <w:lang w:eastAsia="en-GB"/>
              <w14:ligatures w14:val="standardContextual"/>
            </w:rPr>
          </w:pPr>
          <w:hyperlink w:history="1" w:anchor="_Toc223413830">
            <w:r w:rsidRPr="00FE4C7A">
              <w:rPr>
                <w:rStyle w:val="Hyperlink"/>
                <w:noProof/>
              </w:rPr>
              <w:t>Box 4.9. Ireland - Adapting personas to the Life Event ‘I became a student’ to factor in students in vulnerable situations</w:t>
            </w:r>
            <w:r>
              <w:rPr>
                <w:noProof/>
                <w:webHidden/>
              </w:rPr>
              <w:tab/>
            </w:r>
            <w:r>
              <w:rPr>
                <w:noProof/>
                <w:webHidden/>
              </w:rPr>
              <w:fldChar w:fldCharType="begin"/>
            </w:r>
            <w:r>
              <w:rPr>
                <w:noProof/>
                <w:webHidden/>
              </w:rPr>
              <w:instrText xml:space="preserve"> PAGEREF _Toc223413830 \h </w:instrText>
            </w:r>
            <w:r>
              <w:rPr>
                <w:noProof/>
                <w:webHidden/>
              </w:rPr>
            </w:r>
            <w:r>
              <w:rPr>
                <w:noProof/>
                <w:webHidden/>
              </w:rPr>
              <w:fldChar w:fldCharType="separate"/>
            </w:r>
            <w:r w:rsidR="00543B3D">
              <w:rPr>
                <w:noProof/>
                <w:webHidden/>
              </w:rPr>
              <w:t>74</w:t>
            </w:r>
            <w:r>
              <w:rPr>
                <w:noProof/>
                <w:webHidden/>
              </w:rPr>
              <w:fldChar w:fldCharType="end"/>
            </w:r>
          </w:hyperlink>
        </w:p>
        <w:p w:rsidR="0029466E" w:rsidRDefault="0029466E" w14:paraId="315024D3" w14:textId="763EEEFE">
          <w:pPr>
            <w:pStyle w:val="TableofFigures"/>
            <w:rPr>
              <w:rFonts w:eastAsiaTheme="minorEastAsia"/>
              <w:noProof/>
              <w:color w:val="auto"/>
              <w:kern w:val="2"/>
              <w:sz w:val="24"/>
              <w:szCs w:val="24"/>
              <w:lang w:eastAsia="en-GB"/>
              <w14:ligatures w14:val="standardContextual"/>
            </w:rPr>
          </w:pPr>
          <w:hyperlink w:history="1" w:anchor="_Toc223413831">
            <w:r w:rsidRPr="00FE4C7A">
              <w:rPr>
                <w:rStyle w:val="Hyperlink"/>
                <w:noProof/>
              </w:rPr>
              <w:t>Box 4.10. Slovenia - Local administrative units, closer to user needs</w:t>
            </w:r>
            <w:r>
              <w:rPr>
                <w:noProof/>
                <w:webHidden/>
              </w:rPr>
              <w:tab/>
            </w:r>
            <w:r>
              <w:rPr>
                <w:noProof/>
                <w:webHidden/>
              </w:rPr>
              <w:fldChar w:fldCharType="begin"/>
            </w:r>
            <w:r>
              <w:rPr>
                <w:noProof/>
                <w:webHidden/>
              </w:rPr>
              <w:instrText xml:space="preserve"> PAGEREF _Toc223413831 \h </w:instrText>
            </w:r>
            <w:r>
              <w:rPr>
                <w:noProof/>
                <w:webHidden/>
              </w:rPr>
            </w:r>
            <w:r>
              <w:rPr>
                <w:noProof/>
                <w:webHidden/>
              </w:rPr>
              <w:fldChar w:fldCharType="separate"/>
            </w:r>
            <w:r w:rsidR="00543B3D">
              <w:rPr>
                <w:noProof/>
                <w:webHidden/>
              </w:rPr>
              <w:t>75</w:t>
            </w:r>
            <w:r>
              <w:rPr>
                <w:noProof/>
                <w:webHidden/>
              </w:rPr>
              <w:fldChar w:fldCharType="end"/>
            </w:r>
          </w:hyperlink>
        </w:p>
        <w:p w:rsidR="0029466E" w:rsidRDefault="0029466E" w14:paraId="6AA175F0" w14:textId="6F02B54F">
          <w:pPr>
            <w:pStyle w:val="TableofFigures"/>
            <w:rPr>
              <w:rFonts w:eastAsiaTheme="minorEastAsia"/>
              <w:noProof/>
              <w:color w:val="auto"/>
              <w:kern w:val="2"/>
              <w:sz w:val="24"/>
              <w:szCs w:val="24"/>
              <w:lang w:eastAsia="en-GB"/>
              <w14:ligatures w14:val="standardContextual"/>
            </w:rPr>
          </w:pPr>
          <w:hyperlink w:history="1" w:anchor="_Toc223413832">
            <w:r w:rsidRPr="00FE4C7A">
              <w:rPr>
                <w:rStyle w:val="Hyperlink"/>
                <w:noProof/>
              </w:rPr>
              <w:t>Box </w:t>
            </w:r>
            <w:r w:rsidRPr="00FE4C7A">
              <w:rPr>
                <w:rStyle w:val="Hyperlink"/>
                <w:rFonts w:hint="eastAsia"/>
                <w:noProof/>
                <w:cs/>
              </w:rPr>
              <w:t>‎</w:t>
            </w:r>
            <w:r w:rsidRPr="00FE4C7A">
              <w:rPr>
                <w:rStyle w:val="Hyperlink"/>
                <w:noProof/>
              </w:rPr>
              <w:t>5.1. Estonia – Comprehensive approach to user satisfaction measurement</w:t>
            </w:r>
            <w:r>
              <w:rPr>
                <w:noProof/>
                <w:webHidden/>
              </w:rPr>
              <w:tab/>
            </w:r>
            <w:r>
              <w:rPr>
                <w:noProof/>
                <w:webHidden/>
              </w:rPr>
              <w:fldChar w:fldCharType="begin"/>
            </w:r>
            <w:r>
              <w:rPr>
                <w:noProof/>
                <w:webHidden/>
              </w:rPr>
              <w:instrText xml:space="preserve"> PAGEREF _Toc223413832 \h </w:instrText>
            </w:r>
            <w:r>
              <w:rPr>
                <w:noProof/>
                <w:webHidden/>
              </w:rPr>
            </w:r>
            <w:r>
              <w:rPr>
                <w:noProof/>
                <w:webHidden/>
              </w:rPr>
              <w:fldChar w:fldCharType="separate"/>
            </w:r>
            <w:r w:rsidR="00543B3D">
              <w:rPr>
                <w:noProof/>
                <w:webHidden/>
              </w:rPr>
              <w:t>81</w:t>
            </w:r>
            <w:r>
              <w:rPr>
                <w:noProof/>
                <w:webHidden/>
              </w:rPr>
              <w:fldChar w:fldCharType="end"/>
            </w:r>
          </w:hyperlink>
        </w:p>
        <w:p w:rsidR="0029466E" w:rsidRDefault="0029466E" w14:paraId="4F36565F" w14:textId="5707E73F">
          <w:pPr>
            <w:pStyle w:val="TableofFigures"/>
            <w:rPr>
              <w:rFonts w:eastAsiaTheme="minorEastAsia"/>
              <w:noProof/>
              <w:color w:val="auto"/>
              <w:kern w:val="2"/>
              <w:sz w:val="24"/>
              <w:szCs w:val="24"/>
              <w:lang w:eastAsia="en-GB"/>
              <w14:ligatures w14:val="standardContextual"/>
            </w:rPr>
          </w:pPr>
          <w:hyperlink w:history="1" w:anchor="_Toc223413833">
            <w:r w:rsidRPr="00FE4C7A">
              <w:rPr>
                <w:rStyle w:val="Hyperlink"/>
                <w:noProof/>
              </w:rPr>
              <w:t>Box </w:t>
            </w:r>
            <w:r w:rsidRPr="00FE4C7A">
              <w:rPr>
                <w:rStyle w:val="Hyperlink"/>
                <w:rFonts w:hint="eastAsia"/>
                <w:noProof/>
                <w:cs/>
              </w:rPr>
              <w:t>‎</w:t>
            </w:r>
            <w:r w:rsidRPr="00FE4C7A">
              <w:rPr>
                <w:rStyle w:val="Hyperlink"/>
                <w:noProof/>
              </w:rPr>
              <w:t xml:space="preserve">5.2. </w:t>
            </w:r>
            <w:r w:rsidRPr="00FE4C7A">
              <w:rPr>
                <w:rStyle w:val="Hyperlink"/>
                <w:bCs/>
                <w:noProof/>
              </w:rPr>
              <w:t>Latvia - Embedding citizen satisfaction with services indicators into a high-level national plan</w:t>
            </w:r>
            <w:r>
              <w:rPr>
                <w:noProof/>
                <w:webHidden/>
              </w:rPr>
              <w:tab/>
            </w:r>
            <w:r>
              <w:rPr>
                <w:noProof/>
                <w:webHidden/>
              </w:rPr>
              <w:fldChar w:fldCharType="begin"/>
            </w:r>
            <w:r>
              <w:rPr>
                <w:noProof/>
                <w:webHidden/>
              </w:rPr>
              <w:instrText xml:space="preserve"> PAGEREF _Toc223413833 \h </w:instrText>
            </w:r>
            <w:r>
              <w:rPr>
                <w:noProof/>
                <w:webHidden/>
              </w:rPr>
            </w:r>
            <w:r>
              <w:rPr>
                <w:noProof/>
                <w:webHidden/>
              </w:rPr>
              <w:fldChar w:fldCharType="separate"/>
            </w:r>
            <w:r w:rsidR="00543B3D">
              <w:rPr>
                <w:noProof/>
                <w:webHidden/>
              </w:rPr>
              <w:t>82</w:t>
            </w:r>
            <w:r>
              <w:rPr>
                <w:noProof/>
                <w:webHidden/>
              </w:rPr>
              <w:fldChar w:fldCharType="end"/>
            </w:r>
          </w:hyperlink>
        </w:p>
        <w:p w:rsidR="0029466E" w:rsidRDefault="0029466E" w14:paraId="729C60B6" w14:textId="4794F45E">
          <w:pPr>
            <w:pStyle w:val="TableofFigures"/>
            <w:rPr>
              <w:rFonts w:eastAsiaTheme="minorEastAsia"/>
              <w:noProof/>
              <w:color w:val="auto"/>
              <w:kern w:val="2"/>
              <w:sz w:val="24"/>
              <w:szCs w:val="24"/>
              <w:lang w:eastAsia="en-GB"/>
              <w14:ligatures w14:val="standardContextual"/>
            </w:rPr>
          </w:pPr>
          <w:hyperlink w:history="1" w:anchor="_Toc223413834">
            <w:r w:rsidRPr="00FE4C7A">
              <w:rPr>
                <w:rStyle w:val="Hyperlink"/>
                <w:noProof/>
              </w:rPr>
              <w:t>Box 5.3. The Standard Cost Model</w:t>
            </w:r>
            <w:r>
              <w:rPr>
                <w:noProof/>
                <w:webHidden/>
              </w:rPr>
              <w:tab/>
            </w:r>
            <w:r>
              <w:rPr>
                <w:noProof/>
                <w:webHidden/>
              </w:rPr>
              <w:fldChar w:fldCharType="begin"/>
            </w:r>
            <w:r>
              <w:rPr>
                <w:noProof/>
                <w:webHidden/>
              </w:rPr>
              <w:instrText xml:space="preserve"> PAGEREF _Toc223413834 \h </w:instrText>
            </w:r>
            <w:r>
              <w:rPr>
                <w:noProof/>
                <w:webHidden/>
              </w:rPr>
            </w:r>
            <w:r>
              <w:rPr>
                <w:noProof/>
                <w:webHidden/>
              </w:rPr>
              <w:fldChar w:fldCharType="separate"/>
            </w:r>
            <w:r w:rsidR="00543B3D">
              <w:rPr>
                <w:noProof/>
                <w:webHidden/>
              </w:rPr>
              <w:t>88</w:t>
            </w:r>
            <w:r>
              <w:rPr>
                <w:noProof/>
                <w:webHidden/>
              </w:rPr>
              <w:fldChar w:fldCharType="end"/>
            </w:r>
          </w:hyperlink>
        </w:p>
        <w:p w:rsidR="00D2597F" w:rsidP="0022246E" w:rsidRDefault="0022246E" w14:paraId="6732FEA9" w14:textId="74371D07">
          <w:pPr>
            <w:pStyle w:val="Para0"/>
            <w:rPr>
              <w:bCs/>
              <w:noProof/>
              <w:lang w:val="en-US"/>
            </w:rPr>
          </w:pPr>
          <w:r>
            <w:rPr>
              <w:b/>
              <w:bCs/>
              <w:noProof/>
              <w:lang w:val="en-US"/>
            </w:rPr>
            <w:fldChar w:fldCharType="end"/>
          </w:r>
        </w:p>
      </w:sdtContent>
    </w:sdt>
    <w:p w:rsidRPr="00D2597F" w:rsidR="00D2597F" w:rsidRDefault="00D2597F" w14:paraId="592303BC" w14:textId="2F532514">
      <w:pPr>
        <w:rPr>
          <w:lang w:val="en-US"/>
        </w:rPr>
      </w:pPr>
    </w:p>
    <w:p w:rsidR="00F47BCF" w:rsidP="00F90603" w:rsidRDefault="00F90603" w14:paraId="7EC6A602" w14:textId="26DF21DE">
      <w:pPr>
        <w:pStyle w:val="Heading1"/>
        <w:framePr w:wrap="notBeside"/>
        <w:rPr>
          <w:lang w:val="fr-FR"/>
        </w:rPr>
      </w:pPr>
      <w:bookmarkStart w:name="_Toc223413726" w:id="1"/>
      <w:r>
        <w:rPr>
          <w:lang w:val="fr-FR"/>
        </w:rPr>
        <w:t>Introduction</w:t>
      </w:r>
      <w:bookmarkEnd w:id="1"/>
      <w:r>
        <w:rPr>
          <w:lang w:val="fr-FR"/>
        </w:rPr>
        <w:t xml:space="preserve"> </w:t>
      </w:r>
    </w:p>
    <w:p w:rsidR="005E4F7B" w:rsidP="005E4F7B" w:rsidRDefault="005E4F7B" w14:paraId="5375E6ED" w14:textId="656954CF">
      <w:pPr>
        <w:pStyle w:val="Para0"/>
        <w:rPr>
          <w:lang w:val="en-US"/>
        </w:rPr>
      </w:pPr>
      <w:r>
        <w:rPr>
          <w:lang w:val="en-US"/>
        </w:rPr>
        <w:t xml:space="preserve">Governments operate in a challenging environment characterised by geopolitical conflicts, </w:t>
      </w:r>
      <w:r w:rsidR="0076396F">
        <w:rPr>
          <w:lang w:val="en-US"/>
        </w:rPr>
        <w:t xml:space="preserve">social and </w:t>
      </w:r>
      <w:r>
        <w:rPr>
          <w:lang w:val="en-US"/>
        </w:rPr>
        <w:t xml:space="preserve">economic </w:t>
      </w:r>
      <w:r w:rsidR="0076396F">
        <w:rPr>
          <w:lang w:val="en-US"/>
        </w:rPr>
        <w:t xml:space="preserve">transitions, </w:t>
      </w:r>
      <w:r>
        <w:rPr>
          <w:lang w:val="en-US"/>
        </w:rPr>
        <w:t xml:space="preserve">and environmental crises </w:t>
      </w:r>
      <w:r w:rsidR="0076396F">
        <w:rPr>
          <w:lang w:val="en-US"/>
        </w:rPr>
        <w:t>– all of which contribute to significant fiscal</w:t>
      </w:r>
      <w:r>
        <w:rPr>
          <w:lang w:val="en-US"/>
        </w:rPr>
        <w:t xml:space="preserve"> pressure</w:t>
      </w:r>
      <w:r w:rsidR="00C557B7">
        <w:rPr>
          <w:lang w:val="en-US"/>
        </w:rPr>
        <w:t>s on governments</w:t>
      </w:r>
      <w:r>
        <w:rPr>
          <w:lang w:val="en-US"/>
        </w:rPr>
        <w:t xml:space="preserve">. Public administrations need to adapt and respond quickly to challenges, preparing the green and digital transitions to enhance governments’ resilience and improve responsiveness to citizens and business’ needs. Public administrations in EU Member States are working on addressing these challenges through national reforms and EU-supported mechanisms such as the National Recovery and Resilience Plans. Measures under these plans aim to contribute to increasing the efficiency and transparency of public services, reducing the administrative burden of accessing public services and improving the quality of life of citizens and businesses. To fully seize the benefit of these transformations, public administrations need to continuously change and adapt the way they design and deliver public services to become more human centric and effective. </w:t>
      </w:r>
      <w:r w:rsidRPr="00F90603">
        <w:rPr>
          <w:lang w:val="en-US"/>
        </w:rPr>
        <w:t xml:space="preserve"> </w:t>
      </w:r>
    </w:p>
    <w:p w:rsidRPr="004669DD" w:rsidR="005E4F7B" w:rsidP="005E4F7B" w:rsidRDefault="005E4F7B" w14:paraId="6D28ED82" w14:textId="08C76CD3">
      <w:pPr>
        <w:pStyle w:val="Para0"/>
        <w:rPr>
          <w:lang w:val="en-US"/>
        </w:rPr>
      </w:pPr>
      <w:r w:rsidRPr="004669DD">
        <w:rPr>
          <w:lang w:val="en-US"/>
        </w:rPr>
        <w:t xml:space="preserve">The </w:t>
      </w:r>
      <w:r w:rsidRPr="00BC798A">
        <w:rPr>
          <w:i/>
          <w:iCs/>
          <w:lang w:val="en-US"/>
        </w:rPr>
        <w:t>OECD Recommendation of the Council on Human-Centred Public Administration Services</w:t>
      </w:r>
      <w:sdt>
        <w:sdtPr>
          <w:rPr>
            <w:i/>
            <w:iCs/>
            <w:lang w:val="en-US"/>
          </w:rPr>
          <w:id w:val="1439408176"/>
          <w:citation/>
        </w:sdtPr>
        <w:sdtEndPr/>
        <w:sdtContent>
          <w:r w:rsidR="00195EF8">
            <w:rPr>
              <w:i/>
              <w:iCs/>
              <w:lang w:val="en-US"/>
            </w:rPr>
            <w:fldChar w:fldCharType="begin"/>
          </w:r>
          <w:r w:rsidRPr="00832509" w:rsidR="00195EF8">
            <w:rPr>
              <w:i/>
              <w:iCs/>
            </w:rPr>
            <w:instrText xml:space="preserve"> CITATION Mend_kFOsx__1Awz6R5ufQRYAZaA \l 1036 </w:instrText>
          </w:r>
          <w:r w:rsidR="00195EF8">
            <w:rPr>
              <w:i/>
              <w:iCs/>
              <w:lang w:val="en-US"/>
            </w:rPr>
            <w:fldChar w:fldCharType="separate"/>
          </w:r>
          <w:r w:rsidR="00F86F21">
            <w:rPr>
              <w:i/>
              <w:iCs/>
              <w:noProof/>
            </w:rPr>
            <w:t xml:space="preserve"> </w:t>
          </w:r>
          <w:r w:rsidRPr="00F86F21" w:rsidR="00F86F21">
            <w:rPr>
              <w:noProof/>
            </w:rPr>
            <w:t>(OECD, 2024</w:t>
          </w:r>
          <w:r w:rsidRPr="00F86F21" w:rsidR="00F86F21">
            <w:rPr>
              <w:noProof/>
              <w:vertAlign w:val="subscript"/>
            </w:rPr>
            <w:t>[1]</w:t>
          </w:r>
          <w:r w:rsidRPr="00F86F21" w:rsidR="00F86F21">
            <w:rPr>
              <w:noProof/>
            </w:rPr>
            <w:t>)</w:t>
          </w:r>
          <w:r w:rsidR="00195EF8">
            <w:rPr>
              <w:i/>
              <w:iCs/>
              <w:lang w:val="en-US"/>
            </w:rPr>
            <w:fldChar w:fldCharType="end"/>
          </w:r>
        </w:sdtContent>
      </w:sdt>
      <w:r w:rsidRPr="004669DD">
        <w:rPr>
          <w:lang w:val="en-US"/>
        </w:rPr>
        <w:t>, adopted in 2024, recognizes that high-quality public administrative services are essential for governments to achieve socio-economic objectives, including economic growth, inclusion and wellbeing, the green transition, and upholding the rule of law</w:t>
      </w:r>
      <w:r>
        <w:rPr>
          <w:lang w:val="en-US"/>
        </w:rPr>
        <w:t>. The Recommendation emphasises</w:t>
      </w:r>
      <w:r w:rsidRPr="004669DD">
        <w:rPr>
          <w:lang w:val="en-US"/>
        </w:rPr>
        <w:t xml:space="preserve"> that governments rely on well-functioning services to deliver public policies, improve wellbeing, and to communicate, engage with and empower the public. The Recommendation highlights the importan</w:t>
      </w:r>
      <w:r w:rsidR="009D0A0B">
        <w:rPr>
          <w:lang w:val="en-US"/>
        </w:rPr>
        <w:t>ce</w:t>
      </w:r>
      <w:r w:rsidRPr="004669DD">
        <w:rPr>
          <w:lang w:val="en-US"/>
        </w:rPr>
        <w:t xml:space="preserve"> of considering users’ needs when improving public administrative services, with expectations and convenience taking priority over existing government policies, organizational silos, internal procedures or legacy IT systems. </w:t>
      </w:r>
    </w:p>
    <w:p w:rsidR="005E4F7B" w:rsidP="005E4F7B" w:rsidRDefault="005E4F7B" w14:paraId="562C8524" w14:textId="183B0732">
      <w:pPr>
        <w:pStyle w:val="Para0"/>
        <w:rPr>
          <w:lang w:val="en-US"/>
        </w:rPr>
      </w:pPr>
      <w:r>
        <w:rPr>
          <w:lang w:val="en-US"/>
        </w:rPr>
        <w:t xml:space="preserve">Within this context, the </w:t>
      </w:r>
      <w:r w:rsidRPr="00B0649E">
        <w:rPr>
          <w:i/>
          <w:iCs/>
          <w:lang w:val="en-US"/>
        </w:rPr>
        <w:t>OECD Survey on the Drivers of Trust in Public Institutions</w:t>
      </w:r>
      <w:r>
        <w:rPr>
          <w:lang w:val="en-US"/>
        </w:rPr>
        <w:t xml:space="preserve"> </w:t>
      </w:r>
      <w:sdt>
        <w:sdtPr>
          <w:rPr>
            <w:lang w:val="en-US"/>
          </w:rPr>
          <w:id w:val="1651170918"/>
          <w:citation/>
        </w:sdtPr>
        <w:sdtEndPr/>
        <w:sdtContent>
          <w:r>
            <w:rPr>
              <w:lang w:val="en-US"/>
            </w:rPr>
            <w:fldChar w:fldCharType="begin"/>
          </w:r>
          <w:r>
            <w:rPr>
              <w:lang w:val="en-US"/>
            </w:rPr>
            <w:instrText xml:space="preserve"> CITATION Kapp_9a20554b \l 2057 </w:instrText>
          </w:r>
          <w:r>
            <w:rPr>
              <w:lang w:val="en-US"/>
            </w:rPr>
            <w:fldChar w:fldCharType="separate"/>
          </w:r>
          <w:r w:rsidRPr="00F86F21" w:rsidR="00F86F21">
            <w:rPr>
              <w:noProof/>
              <w:lang w:val="en-US"/>
            </w:rPr>
            <w:t>(</w:t>
          </w:r>
          <w:bookmarkStart w:name="Kapp_9a20554b_2" w:id="2"/>
          <w:r w:rsidRPr="00F86F21" w:rsidR="00F86F21">
            <w:rPr>
              <w:noProof/>
              <w:lang w:val="en-US"/>
            </w:rPr>
            <w:t>OECD, 2024</w:t>
          </w:r>
          <w:r w:rsidRPr="00F86F21" w:rsidR="00F86F21">
            <w:rPr>
              <w:noProof/>
              <w:vertAlign w:val="subscript"/>
              <w:lang w:val="en-US"/>
            </w:rPr>
            <w:t>[2]</w:t>
          </w:r>
          <w:r w:rsidRPr="00F86F21" w:rsidR="00F86F21">
            <w:rPr>
              <w:noProof/>
              <w:lang w:val="en-US"/>
            </w:rPr>
            <w:t>)</w:t>
          </w:r>
          <w:bookmarkEnd w:id="2"/>
          <w:r>
            <w:rPr>
              <w:lang w:val="en-US"/>
            </w:rPr>
            <w:fldChar w:fldCharType="end"/>
          </w:r>
        </w:sdtContent>
      </w:sdt>
      <w:r>
        <w:rPr>
          <w:lang w:val="en-US"/>
        </w:rPr>
        <w:t xml:space="preserve"> has found that satisfaction with public services, together with the perception of public sector innovation and public services’ responsiveness to people’s feedback are important drivers of trust in the national government and civil service. By integrating user feedback into a continuous service improvement cycle</w:t>
      </w:r>
      <w:r w:rsidR="00A1625B">
        <w:rPr>
          <w:lang w:val="en-US"/>
        </w:rPr>
        <w:t>,</w:t>
      </w:r>
      <w:r>
        <w:rPr>
          <w:lang w:val="en-US"/>
        </w:rPr>
        <w:t xml:space="preserve"> governments can become more responsive to citizen’s needs and expectations. This responsiveness, in turn, can lead to increased trust in government institutions. </w:t>
      </w:r>
    </w:p>
    <w:p w:rsidR="005E4F7B" w:rsidP="005E4F7B" w:rsidRDefault="005E4F7B" w14:paraId="391DB23D" w14:textId="24C079FD">
      <w:pPr>
        <w:pStyle w:val="Para0"/>
        <w:rPr>
          <w:lang w:val="en-US"/>
        </w:rPr>
      </w:pPr>
      <w:r>
        <w:rPr>
          <w:lang w:val="en-US"/>
        </w:rPr>
        <w:t xml:space="preserve">A key method for improving service delivery and making them more human-centered is the move towards the ‘Life Event’ approach. </w:t>
      </w:r>
      <w:r w:rsidR="00A1625B">
        <w:rPr>
          <w:lang w:val="en-US"/>
        </w:rPr>
        <w:t>“</w:t>
      </w:r>
      <w:r>
        <w:rPr>
          <w:lang w:val="en-US"/>
        </w:rPr>
        <w:t>A Life Event refers to a change in the circumstances of a user which creates a need to use a public administrative service or services, and that may require coordination and integration between different service providers</w:t>
      </w:r>
      <w:r w:rsidR="00A1625B">
        <w:rPr>
          <w:lang w:val="en-US"/>
        </w:rPr>
        <w:t>”</w:t>
      </w:r>
      <w:sdt>
        <w:sdtPr>
          <w:rPr>
            <w:lang w:val="en-US"/>
          </w:rPr>
          <w:id w:val="-1359040437"/>
          <w:citation/>
        </w:sdtPr>
        <w:sdtEndPr/>
        <w:sdtContent>
          <w:r w:rsidR="00A1625B">
            <w:rPr>
              <w:lang w:val="en-US"/>
            </w:rPr>
            <w:fldChar w:fldCharType="begin"/>
          </w:r>
          <w:r w:rsidRPr="00832509" w:rsidR="00A1625B">
            <w:instrText xml:space="preserve"> CITATION Mend_kFOsx__1Awz6R5ufQRYAZaA \l 1036 </w:instrText>
          </w:r>
          <w:r w:rsidR="00A1625B">
            <w:rPr>
              <w:lang w:val="en-US"/>
            </w:rPr>
            <w:fldChar w:fldCharType="separate"/>
          </w:r>
          <w:r w:rsidR="00F86F21">
            <w:rPr>
              <w:noProof/>
            </w:rPr>
            <w:t xml:space="preserve"> </w:t>
          </w:r>
          <w:r w:rsidRPr="00F86F21" w:rsidR="00F86F21">
            <w:rPr>
              <w:noProof/>
            </w:rPr>
            <w:t>(OECD, 2024</w:t>
          </w:r>
          <w:r w:rsidRPr="00F86F21" w:rsidR="00F86F21">
            <w:rPr>
              <w:noProof/>
              <w:vertAlign w:val="subscript"/>
            </w:rPr>
            <w:t>[1]</w:t>
          </w:r>
          <w:r w:rsidRPr="00F86F21" w:rsidR="00F86F21">
            <w:rPr>
              <w:noProof/>
            </w:rPr>
            <w:t>)</w:t>
          </w:r>
          <w:r w:rsidR="00A1625B">
            <w:rPr>
              <w:lang w:val="en-US"/>
            </w:rPr>
            <w:fldChar w:fldCharType="end"/>
          </w:r>
        </w:sdtContent>
      </w:sdt>
      <w:r>
        <w:rPr>
          <w:lang w:val="en-US"/>
        </w:rPr>
        <w:t xml:space="preserve">. While this approach is not new, the greater ongoing shift from countries requires adapting pre-existing approaches to measuring satisfaction with services. Examining the level of satisfaction among users with Life Events can provide performance information to help governments increase user-centricity by replacing compartmentalized ‘silos’ and beige tape with simpler processes. The Life Event has approach has been applied in some form to some public administrative services in 20 out of 28 OECD countries that responded to the OECD Serving Citizen’s Survey as of March 2025 </w:t>
      </w:r>
      <w:sdt>
        <w:sdtPr>
          <w:rPr>
            <w:lang w:val="en-US"/>
          </w:rPr>
          <w:id w:val="2004699709"/>
          <w:citation/>
        </w:sdtPr>
        <w:sdtEndPr/>
        <w:sdtContent>
          <w:r>
            <w:rPr>
              <w:lang w:val="en-US"/>
            </w:rPr>
            <w:fldChar w:fldCharType="begin"/>
          </w:r>
          <w:r>
            <w:rPr>
              <w:lang w:val="en-US"/>
            </w:rPr>
            <w:instrText xml:space="preserve"> CITATION Kapp_0efd0bcd \l 2057 </w:instrText>
          </w:r>
          <w:r>
            <w:rPr>
              <w:lang w:val="en-US"/>
            </w:rPr>
            <w:fldChar w:fldCharType="separate"/>
          </w:r>
          <w:r w:rsidRPr="00F86F21" w:rsidR="00F86F21">
            <w:rPr>
              <w:noProof/>
              <w:lang w:val="en-US"/>
            </w:rPr>
            <w:t>(</w:t>
          </w:r>
          <w:bookmarkStart w:name="Kapp_0efd0bcd_3" w:id="3"/>
          <w:r w:rsidRPr="00F86F21" w:rsidR="00F86F21">
            <w:rPr>
              <w:noProof/>
              <w:lang w:val="en-US"/>
            </w:rPr>
            <w:t>OECD, 2025</w:t>
          </w:r>
          <w:r w:rsidRPr="00F86F21" w:rsidR="00F86F21">
            <w:rPr>
              <w:noProof/>
              <w:vertAlign w:val="subscript"/>
              <w:lang w:val="en-US"/>
            </w:rPr>
            <w:t>[3]</w:t>
          </w:r>
          <w:r w:rsidRPr="00F86F21" w:rsidR="00F86F21">
            <w:rPr>
              <w:noProof/>
              <w:lang w:val="en-US"/>
            </w:rPr>
            <w:t>)</w:t>
          </w:r>
          <w:bookmarkEnd w:id="3"/>
          <w:r>
            <w:rPr>
              <w:lang w:val="en-US"/>
            </w:rPr>
            <w:fldChar w:fldCharType="end"/>
          </w:r>
        </w:sdtContent>
      </w:sdt>
      <w:r w:rsidR="00146CBA">
        <w:rPr>
          <w:lang w:val="en-US"/>
        </w:rPr>
        <w:t>.</w:t>
      </w:r>
    </w:p>
    <w:p w:rsidR="005E4F7B" w:rsidP="005E4F7B" w:rsidRDefault="005E4F7B" w14:paraId="40105151" w14:textId="18B9D9C1">
      <w:pPr>
        <w:pStyle w:val="Para0"/>
        <w:rPr>
          <w:lang w:val="en-US"/>
        </w:rPr>
      </w:pPr>
      <w:bookmarkStart w:name="_Toc213166126" w:id="4"/>
      <w:r>
        <w:rPr>
          <w:lang w:val="en-US"/>
        </w:rPr>
        <w:t xml:space="preserve">While countries are shifting towards the use of a Life Events approach, no standardised </w:t>
      </w:r>
      <w:r w:rsidR="006C509B">
        <w:rPr>
          <w:lang w:val="en-US"/>
        </w:rPr>
        <w:t xml:space="preserve">cross-national </w:t>
      </w:r>
      <w:r>
        <w:rPr>
          <w:lang w:val="en-US"/>
        </w:rPr>
        <w:t xml:space="preserve">approach existed for measuring user satisfaction with public services and understanding the main drivers of satisfaction with the way in which public services are designed and delivered. To address this information gap, </w:t>
      </w:r>
      <w:r w:rsidR="00146CBA">
        <w:rPr>
          <w:lang w:val="en-US"/>
        </w:rPr>
        <w:t xml:space="preserve">the </w:t>
      </w:r>
      <w:r>
        <w:rPr>
          <w:lang w:val="en-US"/>
        </w:rPr>
        <w:t xml:space="preserve">Project ‘Measuring Citizen’s Satisfaction with key Government Services for Better Performance </w:t>
      </w:r>
      <w:r>
        <w:rPr>
          <w:lang w:val="en-US"/>
        </w:rPr>
        <w:t xml:space="preserve">and Enhanced Trust’ was financed by the European Commission’s Technical Support Instrument in September 2021. The Project supported ten EU Member States (Austria, Croatia, Estonia, Finland, Greece, Ireland, Latvia, Lithuania, Slovenia and Spain) in the development of a </w:t>
      </w:r>
      <w:r>
        <w:rPr>
          <w:b/>
          <w:bCs/>
          <w:lang w:val="en-US"/>
        </w:rPr>
        <w:t xml:space="preserve">common ‘Framework for measuring satisfaction with public services through Life Events’ </w:t>
      </w:r>
      <w:r>
        <w:rPr>
          <w:lang w:val="en-US"/>
        </w:rPr>
        <w:t xml:space="preserve">focusing on the user journey as well as </w:t>
      </w:r>
      <w:r w:rsidR="00146CBA">
        <w:rPr>
          <w:lang w:val="en-US"/>
        </w:rPr>
        <w:t>o</w:t>
      </w:r>
      <w:r>
        <w:rPr>
          <w:lang w:val="en-US"/>
        </w:rPr>
        <w:t xml:space="preserve">n the identification of organizational enablers to enhance the design and delivery of government services. The Framework developed by the Project focused on measuring satisfaction with the performance of public services delivered through Life Events throughout the key stages of the User Journey (1) Access (2) Navigate and (3) Achieve. </w:t>
      </w:r>
    </w:p>
    <w:p w:rsidR="00280C73" w:rsidRDefault="00280C73" w14:paraId="31BA4845" w14:textId="098A522F">
      <w:pPr>
        <w:pStyle w:val="Caption"/>
      </w:pPr>
      <w:bookmarkStart w:name="_Toc223413755" w:id="5"/>
      <w:r>
        <w:t>Figure </w:t>
      </w:r>
      <w:r>
        <w:rPr>
          <w:noProof/>
        </w:rPr>
        <w:fldChar w:fldCharType="begin"/>
      </w:r>
      <w:r>
        <w:rPr>
          <w:noProof/>
        </w:rPr>
        <w:instrText xml:space="preserve"> STYLEREF 1 \s </w:instrText>
      </w:r>
      <w:r>
        <w:rPr>
          <w:noProof/>
        </w:rPr>
        <w:fldChar w:fldCharType="separate"/>
      </w:r>
      <w:r w:rsidR="00543B3D">
        <w:rPr>
          <w:noProof/>
        </w:rPr>
        <w:t>1</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1</w:t>
      </w:r>
      <w:r>
        <w:rPr>
          <w:noProof/>
        </w:rPr>
        <w:fldChar w:fldCharType="end"/>
      </w:r>
      <w:r>
        <w:t>. Measurement Framework for measuring satisfaction with public administrative services</w:t>
      </w:r>
      <w:bookmarkEnd w:id="5"/>
      <w:r>
        <w:t xml:space="preserve"> </w:t>
      </w:r>
    </w:p>
    <w:p w:rsidR="00280C73" w:rsidRDefault="00280C73" w14:paraId="2EBC073B" w14:textId="09EB522C">
      <w:pPr>
        <w:pStyle w:val="Figure"/>
        <w:rPr>
          <w:i/>
        </w:rPr>
      </w:pPr>
      <w:r w:rsidRPr="00E27F78">
        <w:rPr>
          <w:noProof/>
        </w:rPr>
        <w:drawing>
          <wp:inline distT="0" distB="0" distL="0" distR="0" wp14:anchorId="23BC1FA7" wp14:editId="656D2805">
            <wp:extent cx="5904230" cy="2745740"/>
            <wp:effectExtent l="0" t="0" r="1270" b="0"/>
            <wp:docPr id="162076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76700" name=""/>
                    <pic:cNvPicPr/>
                  </pic:nvPicPr>
                  <pic:blipFill>
                    <a:blip r:embed="rId12"/>
                    <a:stretch>
                      <a:fillRect/>
                    </a:stretch>
                  </pic:blipFill>
                  <pic:spPr>
                    <a:xfrm>
                      <a:off x="0" y="0"/>
                      <a:ext cx="5904230" cy="2745740"/>
                    </a:xfrm>
                    <a:prstGeom prst="rect">
                      <a:avLst/>
                    </a:prstGeom>
                  </pic:spPr>
                </pic:pic>
              </a:graphicData>
            </a:graphic>
          </wp:inline>
        </w:drawing>
      </w:r>
    </w:p>
    <w:p w:rsidRPr="003518F1" w:rsidR="00280C73" w:rsidRDefault="00280C73" w14:paraId="629B82AC" w14:textId="104E65AF">
      <w:pPr>
        <w:pStyle w:val="Sourcenotes"/>
        <w:rPr>
          <w:lang w:val="en-US"/>
        </w:rPr>
      </w:pPr>
      <w:r w:rsidRPr="003518F1">
        <w:rPr>
          <w:lang w:val="en-US"/>
        </w:rPr>
        <w:t xml:space="preserve">Source: </w:t>
      </w:r>
      <w:r w:rsidRPr="003518F1" w:rsidR="003518F1">
        <w:rPr>
          <w:lang w:val="en-US"/>
        </w:rPr>
        <w:t>EC-OECD Project o</w:t>
      </w:r>
      <w:r w:rsidR="003518F1">
        <w:rPr>
          <w:lang w:val="en-US"/>
        </w:rPr>
        <w:t xml:space="preserve">n Measuring Citizen’s Satisfaction with key Government Services </w:t>
      </w:r>
    </w:p>
    <w:bookmarkEnd w:id="4"/>
    <w:p w:rsidR="00BF3088" w:rsidP="00BF3088" w:rsidRDefault="00BF3088" w14:paraId="443F6EAF" w14:textId="2919339E">
      <w:pPr>
        <w:pStyle w:val="Para0"/>
        <w:rPr>
          <w:lang w:val="en-US"/>
        </w:rPr>
      </w:pPr>
      <w:r w:rsidRPr="00BF3088">
        <w:rPr>
          <w:lang w:val="en-US"/>
        </w:rPr>
        <w:t xml:space="preserve">The development of a Measurement Framework and accompanying Survey Questionnaire led to the </w:t>
      </w:r>
      <w:r w:rsidRPr="00BF3088">
        <w:rPr>
          <w:b/>
          <w:bCs/>
          <w:lang w:val="en-US"/>
        </w:rPr>
        <w:t>deployment of a Population Survey between October and November 2024 that measured both user and non-user satisfaction with public services delivered through 15 Life Events</w:t>
      </w:r>
      <w:r w:rsidRPr="00BF3088">
        <w:rPr>
          <w:lang w:val="en-US"/>
        </w:rPr>
        <w:t>. The general Population Survey gathered responses from 15 178 users and 5 081 non-users across the ten participating EU Member States.</w:t>
      </w:r>
      <w:r w:rsidRPr="00BF3088">
        <w:rPr>
          <w:vertAlign w:val="superscript"/>
          <w:lang w:val="en-US"/>
        </w:rPr>
        <w:footnoteReference w:id="2"/>
      </w:r>
      <w:r w:rsidRPr="00BF3088">
        <w:rPr>
          <w:lang w:val="en-US"/>
        </w:rPr>
        <w:t xml:space="preserve"> The deployment of a general Population Survey enabled the OECD to test the Measurement Framework and Satisfaction Survey questionnaire and contribute</w:t>
      </w:r>
      <w:r w:rsidR="00EC1963">
        <w:rPr>
          <w:lang w:val="en-US"/>
        </w:rPr>
        <w:t>d</w:t>
      </w:r>
      <w:r w:rsidRPr="00BF3088">
        <w:rPr>
          <w:lang w:val="en-US"/>
        </w:rPr>
        <w:t xml:space="preserve"> to the development of a common methodology for measuring and managing user satisfaction across countries. </w:t>
      </w:r>
    </w:p>
    <w:tbl>
      <w:tblPr>
        <w:tblStyle w:val="TableGrid"/>
        <w:tblW w:w="9584"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584"/>
      </w:tblGrid>
      <w:tr w:rsidRPr="00E2226B" w:rsidR="00E0785E" w14:paraId="24B7B3C9" w14:textId="77777777">
        <w:trPr>
          <w:jc w:val="center"/>
        </w:trPr>
        <w:tc>
          <w:tcPr>
            <w:tcW w:w="9584"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E0785E" w:rsidRDefault="00E0785E" w14:paraId="0CB68EF4" w14:textId="144D4097">
            <w:pPr>
              <w:pStyle w:val="Caption"/>
            </w:pPr>
            <w:bookmarkStart w:name="_Toc213166377" w:id="6"/>
            <w:bookmarkStart w:name="_Toc223413791" w:id="7"/>
            <w:r w:rsidRPr="00B44A50">
              <w:t>Box</w:t>
            </w:r>
            <w:r>
              <w:t> </w:t>
            </w:r>
            <w:r>
              <w:rPr>
                <w:noProof/>
              </w:rPr>
              <w:fldChar w:fldCharType="begin"/>
            </w:r>
            <w:r>
              <w:rPr>
                <w:noProof/>
              </w:rPr>
              <w:instrText xml:space="preserve"> STYLEREF 1 \s </w:instrText>
            </w:r>
            <w:r>
              <w:rPr>
                <w:noProof/>
              </w:rPr>
              <w:fldChar w:fldCharType="separate"/>
            </w:r>
            <w:r w:rsidR="00543B3D">
              <w:rPr>
                <w:noProof/>
              </w:rPr>
              <w:t>1</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1</w:t>
            </w:r>
            <w:r>
              <w:rPr>
                <w:noProof/>
              </w:rPr>
              <w:fldChar w:fldCharType="end"/>
            </w:r>
            <w:r>
              <w:t>. Insights from TSI Satisfaction Survey: Public Services Covered by TSI Project on Measuring Citizen Satisfaction with Key Government Services</w:t>
            </w:r>
            <w:bookmarkEnd w:id="6"/>
            <w:bookmarkEnd w:id="7"/>
            <w:r>
              <w:t xml:space="preserve"> </w:t>
            </w:r>
          </w:p>
          <w:p w:rsidR="00E0785E" w:rsidP="00832509" w:rsidRDefault="00E0785E" w14:paraId="5296DF36" w14:textId="46DE06AB">
            <w:pPr>
              <w:pStyle w:val="Para0"/>
            </w:pPr>
            <w:r>
              <w:t>The Satisfaction Survey deployed through the TSI Project on Measuring Citizen’s Satisfaction with key Government Services for Better Performance and Enhanced Trust measures citizen satisfaction with 15 Life Events experienced by users over a 12-month period. This enabled public administrations in ten beneficiary EU Member States to measure user satisfaction with public services falling under the</w:t>
            </w:r>
            <w:r w:rsidR="00E628F9">
              <w:rPr>
                <w:b/>
                <w:i/>
              </w:rPr>
              <w:t xml:space="preserve"> following</w:t>
            </w:r>
            <w:r>
              <w:t xml:space="preserve"> 15 Life Events: </w:t>
            </w:r>
          </w:p>
          <w:p w:rsidR="00E0785E" w:rsidRDefault="00E0785E" w14:paraId="00FDF9C8" w14:textId="77777777">
            <w:pPr>
              <w:pStyle w:val="Sourcenotes"/>
            </w:pPr>
          </w:p>
          <w:p w:rsidRPr="00775FF9" w:rsidR="007D2FF1" w:rsidP="00056BAB" w:rsidRDefault="00E0785E" w14:paraId="5C863BF9" w14:textId="5DD737FA">
            <w:pPr>
              <w:pStyle w:val="Sourcenotes"/>
              <w:spacing w:line="240" w:lineRule="auto"/>
            </w:pPr>
            <w:r w:rsidRPr="0042309A">
              <w:rPr>
                <w:noProof/>
              </w:rPr>
              <w:drawing>
                <wp:inline distT="0" distB="0" distL="0" distR="0" wp14:anchorId="3678EC9A" wp14:editId="52F14DFC">
                  <wp:extent cx="5904230" cy="2402840"/>
                  <wp:effectExtent l="0" t="0" r="1270" b="0"/>
                  <wp:docPr id="2045117299" name="Picture 1" descr="A blue rectangular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117299" name="Picture 1" descr="A blue rectangular sign with white text&#10;&#10;AI-generated content may be incorrect."/>
                          <pic:cNvPicPr/>
                        </pic:nvPicPr>
                        <pic:blipFill>
                          <a:blip r:embed="rId13"/>
                          <a:stretch>
                            <a:fillRect/>
                          </a:stretch>
                        </pic:blipFill>
                        <pic:spPr>
                          <a:xfrm>
                            <a:off x="0" y="0"/>
                            <a:ext cx="5904230" cy="2402840"/>
                          </a:xfrm>
                          <a:prstGeom prst="rect">
                            <a:avLst/>
                          </a:prstGeom>
                        </pic:spPr>
                      </pic:pic>
                    </a:graphicData>
                  </a:graphic>
                </wp:inline>
              </w:drawing>
            </w:r>
          </w:p>
        </w:tc>
      </w:tr>
    </w:tbl>
    <w:p w:rsidRPr="0096243C" w:rsidR="00156CE5" w:rsidP="00673DA3" w:rsidRDefault="00056BAB" w14:paraId="3F3628CA" w14:textId="0C10F01C">
      <w:pPr>
        <w:pStyle w:val="Para0"/>
        <w:rPr>
          <w:b/>
          <w:bCs/>
          <w:lang w:val="en-US"/>
        </w:rPr>
      </w:pPr>
      <w:r>
        <w:rPr>
          <w:lang w:val="en-US"/>
        </w:rPr>
        <w:t>The TSI Satisfaction Survey enabled participating countries to gather d</w:t>
      </w:r>
      <w:r w:rsidR="009F406D">
        <w:rPr>
          <w:lang w:val="en-US"/>
        </w:rPr>
        <w:t xml:space="preserve">ata on, amongst others, overall user and non-user satisfaction with public services in the country, satisfaction with specific Life Events experienced, types of channels used to access </w:t>
      </w:r>
      <w:r w:rsidR="00E628F9">
        <w:rPr>
          <w:lang w:val="en-US"/>
        </w:rPr>
        <w:t>p</w:t>
      </w:r>
      <w:r w:rsidR="009F406D">
        <w:rPr>
          <w:lang w:val="en-US"/>
        </w:rPr>
        <w:t xml:space="preserve">ublic </w:t>
      </w:r>
      <w:r w:rsidR="00E628F9">
        <w:rPr>
          <w:lang w:val="en-US"/>
        </w:rPr>
        <w:t>s</w:t>
      </w:r>
      <w:r w:rsidR="009F406D">
        <w:rPr>
          <w:lang w:val="en-US"/>
        </w:rPr>
        <w:t>ervices, frequency of Life Events over a 12</w:t>
      </w:r>
      <w:r w:rsidR="00E628F9">
        <w:rPr>
          <w:lang w:val="en-US"/>
        </w:rPr>
        <w:t>-</w:t>
      </w:r>
      <w:r w:rsidR="009F406D">
        <w:rPr>
          <w:lang w:val="en-US"/>
        </w:rPr>
        <w:t>month period</w:t>
      </w:r>
      <w:r w:rsidR="00075DD4">
        <w:rPr>
          <w:lang w:val="en-US"/>
        </w:rPr>
        <w:t xml:space="preserve">, </w:t>
      </w:r>
      <w:r w:rsidR="00D712BA">
        <w:rPr>
          <w:lang w:val="en-US"/>
        </w:rPr>
        <w:t xml:space="preserve">and </w:t>
      </w:r>
      <w:r w:rsidR="00075DD4">
        <w:rPr>
          <w:lang w:val="en-US"/>
        </w:rPr>
        <w:t>areas of improve</w:t>
      </w:r>
      <w:r w:rsidR="00D712BA">
        <w:rPr>
          <w:lang w:val="en-US"/>
        </w:rPr>
        <w:t>ment</w:t>
      </w:r>
      <w:r w:rsidR="00075DD4">
        <w:rPr>
          <w:lang w:val="en-US"/>
        </w:rPr>
        <w:t xml:space="preserve"> identified by users. Moreover, the Survey </w:t>
      </w:r>
      <w:r w:rsidR="0096243C">
        <w:rPr>
          <w:lang w:val="en-US"/>
        </w:rPr>
        <w:t xml:space="preserve">enabled the </w:t>
      </w:r>
      <w:r w:rsidRPr="0096243C" w:rsidR="0096243C">
        <w:rPr>
          <w:b/>
          <w:bCs/>
          <w:lang w:val="en-US"/>
        </w:rPr>
        <w:t>identification of nine key drivers of satisfaction with public administrative services</w:t>
      </w:r>
      <w:r w:rsidR="00D712BA">
        <w:rPr>
          <w:b/>
          <w:bCs/>
          <w:lang w:val="en-US"/>
        </w:rPr>
        <w:t xml:space="preserve"> </w:t>
      </w:r>
      <w:r w:rsidRPr="00832509" w:rsidR="00D712BA">
        <w:rPr>
          <w:lang w:val="en-US"/>
        </w:rPr>
        <w:t>(</w:t>
      </w:r>
      <w:r w:rsidR="00D712BA">
        <w:rPr>
          <w:lang w:val="en-US"/>
        </w:rPr>
        <w:fldChar w:fldCharType="begin"/>
      </w:r>
      <w:r w:rsidR="00D712BA">
        <w:rPr>
          <w:lang w:val="en-US"/>
        </w:rPr>
        <w:instrText xml:space="preserve"> REF _Ref223362360 \h </w:instrText>
      </w:r>
      <w:r w:rsidR="00D712BA">
        <w:rPr>
          <w:lang w:val="en-US"/>
        </w:rPr>
      </w:r>
      <w:r w:rsidR="00D712BA">
        <w:rPr>
          <w:lang w:val="en-US"/>
        </w:rPr>
        <w:fldChar w:fldCharType="separate"/>
      </w:r>
      <w:r w:rsidR="00543B3D">
        <w:t>Figure </w:t>
      </w:r>
      <w:r w:rsidR="00543B3D">
        <w:rPr>
          <w:noProof/>
        </w:rPr>
        <w:t>1</w:t>
      </w:r>
      <w:r w:rsidR="00543B3D">
        <w:t>.</w:t>
      </w:r>
      <w:r w:rsidR="00543B3D">
        <w:rPr>
          <w:noProof/>
        </w:rPr>
        <w:t>2</w:t>
      </w:r>
      <w:r w:rsidR="00D712BA">
        <w:rPr>
          <w:lang w:val="en-US"/>
        </w:rPr>
        <w:fldChar w:fldCharType="end"/>
      </w:r>
      <w:r w:rsidRPr="00832509" w:rsidR="00D712BA">
        <w:rPr>
          <w:lang w:val="en-US"/>
        </w:rPr>
        <w:t>)</w:t>
      </w:r>
      <w:r w:rsidRPr="0096243C" w:rsidR="0096243C">
        <w:rPr>
          <w:b/>
          <w:bCs/>
          <w:lang w:val="en-US"/>
        </w:rPr>
        <w:t xml:space="preserve">. </w:t>
      </w:r>
    </w:p>
    <w:p w:rsidR="00FE42D0" w:rsidP="00673DA3" w:rsidRDefault="00FE42D0" w14:paraId="508936CE" w14:textId="77777777">
      <w:pPr>
        <w:pStyle w:val="Para0"/>
        <w:rPr>
          <w:lang w:val="en-US"/>
        </w:rPr>
      </w:pPr>
    </w:p>
    <w:p w:rsidR="00FE42D0" w:rsidRDefault="00FE42D0" w14:paraId="73AA4408" w14:textId="7003BA30">
      <w:pPr>
        <w:pStyle w:val="Caption"/>
      </w:pPr>
      <w:bookmarkStart w:name="_Ref223362360" w:id="8"/>
      <w:bookmarkStart w:name="_Toc223413756" w:id="9"/>
      <w:r>
        <w:t>Figure </w:t>
      </w:r>
      <w:r>
        <w:rPr>
          <w:noProof/>
        </w:rPr>
        <w:fldChar w:fldCharType="begin"/>
      </w:r>
      <w:r>
        <w:rPr>
          <w:noProof/>
        </w:rPr>
        <w:instrText xml:space="preserve"> STYLEREF 1 \s </w:instrText>
      </w:r>
      <w:r>
        <w:rPr>
          <w:noProof/>
        </w:rPr>
        <w:fldChar w:fldCharType="separate"/>
      </w:r>
      <w:r w:rsidR="00543B3D">
        <w:rPr>
          <w:noProof/>
        </w:rPr>
        <w:t>1</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2</w:t>
      </w:r>
      <w:r>
        <w:rPr>
          <w:noProof/>
        </w:rPr>
        <w:fldChar w:fldCharType="end"/>
      </w:r>
      <w:bookmarkEnd w:id="8"/>
      <w:r>
        <w:t>. Key drivers of citizen satisfaction with public services delivered through Life Events</w:t>
      </w:r>
      <w:bookmarkEnd w:id="9"/>
      <w:r>
        <w:t xml:space="preserve"> </w:t>
      </w:r>
    </w:p>
    <w:p w:rsidR="00FE42D0" w:rsidRDefault="0021574F" w14:paraId="499846F9" w14:textId="1D850476">
      <w:pPr>
        <w:pStyle w:val="Figure"/>
        <w:rPr>
          <w:i/>
        </w:rPr>
      </w:pPr>
      <w:r w:rsidRPr="0021574F">
        <w:rPr>
          <w:i/>
          <w:noProof/>
        </w:rPr>
        <w:drawing>
          <wp:inline distT="0" distB="0" distL="0" distR="0" wp14:anchorId="1308ECD3" wp14:editId="08896A5B">
            <wp:extent cx="5948105" cy="3530991"/>
            <wp:effectExtent l="0" t="0" r="0" b="0"/>
            <wp:docPr id="34" name="Picture 33" descr="A diagram of a service&#10;&#10;AI-generated content may be incorrect.">
              <a:extLst xmlns:a="http://schemas.openxmlformats.org/drawingml/2006/main">
                <a:ext uri="{FF2B5EF4-FFF2-40B4-BE49-F238E27FC236}">
                  <a16:creationId xmlns:a16="http://schemas.microsoft.com/office/drawing/2014/main" id="{51D663D3-9634-6EF2-16CB-9BD4D85D37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descr="A diagram of a service&#10;&#10;AI-generated content may be incorrect.">
                      <a:extLst>
                        <a:ext uri="{FF2B5EF4-FFF2-40B4-BE49-F238E27FC236}">
                          <a16:creationId xmlns:a16="http://schemas.microsoft.com/office/drawing/2014/main" id="{51D663D3-9634-6EF2-16CB-9BD4D85D37FD}"/>
                        </a:ext>
                      </a:extLst>
                    </pic:cNvPr>
                    <pic:cNvPicPr>
                      <a:picLocks noChangeAspect="1"/>
                    </pic:cNvPicPr>
                  </pic:nvPicPr>
                  <pic:blipFill>
                    <a:blip r:embed="rId14"/>
                    <a:stretch>
                      <a:fillRect/>
                    </a:stretch>
                  </pic:blipFill>
                  <pic:spPr>
                    <a:xfrm>
                      <a:off x="0" y="0"/>
                      <a:ext cx="5948105" cy="3530991"/>
                    </a:xfrm>
                    <a:prstGeom prst="rect">
                      <a:avLst/>
                    </a:prstGeom>
                  </pic:spPr>
                </pic:pic>
              </a:graphicData>
            </a:graphic>
          </wp:inline>
        </w:drawing>
      </w:r>
    </w:p>
    <w:p w:rsidRPr="00454399" w:rsidR="00FE42D0" w:rsidRDefault="00FE42D0" w14:paraId="5DA7C352" w14:textId="601286D5">
      <w:pPr>
        <w:pStyle w:val="Sourcenotes"/>
      </w:pPr>
      <w:r w:rsidRPr="004802B4">
        <w:t xml:space="preserve">Source: </w:t>
      </w:r>
      <w:r w:rsidR="005C23F0">
        <w:t>TSI Satisfaction Survey, 2024</w:t>
      </w:r>
    </w:p>
    <w:p w:rsidR="00956265" w:rsidP="004066C5" w:rsidRDefault="00673DA3" w14:paraId="3C6E19DE" w14:textId="7EAFE4D8">
      <w:pPr>
        <w:pStyle w:val="Para0"/>
        <w:rPr>
          <w:lang w:val="en-US"/>
        </w:rPr>
      </w:pPr>
      <w:r>
        <w:rPr>
          <w:lang w:val="en-US"/>
        </w:rPr>
        <w:t>By understanding what drives satisfaction with public services delivered through Life Events, public administrations can enhance citizen satisfaction and ultimately public trust</w:t>
      </w:r>
      <w:sdt>
        <w:sdtPr>
          <w:rPr>
            <w:lang w:val="en-US"/>
          </w:rPr>
          <w:id w:val="-1843380912"/>
          <w:citation/>
        </w:sdtPr>
        <w:sdtEndPr/>
        <w:sdtContent>
          <w:r w:rsidR="00956265">
            <w:rPr>
              <w:lang w:val="en-US"/>
            </w:rPr>
            <w:fldChar w:fldCharType="begin"/>
          </w:r>
          <w:r w:rsidRPr="00832509" w:rsidR="00956265">
            <w:instrText xml:space="preserve"> CITATION Kapp_9a20554b \l 1036 </w:instrText>
          </w:r>
          <w:r w:rsidR="00956265">
            <w:rPr>
              <w:lang w:val="en-US"/>
            </w:rPr>
            <w:fldChar w:fldCharType="separate"/>
          </w:r>
          <w:r w:rsidR="00F86F21">
            <w:rPr>
              <w:noProof/>
            </w:rPr>
            <w:t xml:space="preserve"> </w:t>
          </w:r>
          <w:r w:rsidRPr="00F86F21" w:rsidR="00F86F21">
            <w:rPr>
              <w:noProof/>
            </w:rPr>
            <w:t>(OECD, 2024</w:t>
          </w:r>
          <w:r w:rsidRPr="00F86F21" w:rsidR="00F86F21">
            <w:rPr>
              <w:noProof/>
              <w:vertAlign w:val="subscript"/>
            </w:rPr>
            <w:t>[2]</w:t>
          </w:r>
          <w:r w:rsidRPr="00F86F21" w:rsidR="00F86F21">
            <w:rPr>
              <w:noProof/>
            </w:rPr>
            <w:t>)</w:t>
          </w:r>
          <w:r w:rsidR="00956265">
            <w:rPr>
              <w:lang w:val="en-US"/>
            </w:rPr>
            <w:fldChar w:fldCharType="end"/>
          </w:r>
        </w:sdtContent>
      </w:sdt>
      <w:r>
        <w:rPr>
          <w:lang w:val="en-US"/>
        </w:rPr>
        <w:t xml:space="preserve">. Moreover, this can support public administrations in improving the overall effectiveness and efficiency of public administrative </w:t>
      </w:r>
      <w:r w:rsidR="009F440E">
        <w:rPr>
          <w:lang w:val="en-US"/>
        </w:rPr>
        <w:t>services around life events. Participating countries to the project have engaged into rethinking, simplifying, streamlining and digitalizing steps and procedures across life events identified, including through in-country workshops held with the OECD support.</w:t>
      </w:r>
      <w:r w:rsidR="00956265">
        <w:rPr>
          <w:lang w:val="en-US"/>
        </w:rPr>
        <w:t xml:space="preserve"> </w:t>
      </w:r>
    </w:p>
    <w:p w:rsidRPr="00051078" w:rsidR="00F90603" w:rsidP="004066C5" w:rsidRDefault="004066C5" w14:paraId="25EE5F6D" w14:textId="769F69D5">
      <w:pPr>
        <w:pStyle w:val="Para0"/>
        <w:rPr>
          <w:b/>
          <w:bCs/>
          <w:lang w:val="en-US"/>
        </w:rPr>
      </w:pPr>
      <w:r>
        <w:rPr>
          <w:lang w:val="en-US"/>
        </w:rPr>
        <w:t>The d</w:t>
      </w:r>
      <w:r w:rsidR="009A24EF">
        <w:rPr>
          <w:lang w:val="en-US"/>
        </w:rPr>
        <w:t xml:space="preserve">rivers of satisfaction with public services can be used as a compass for public administrations when working on public service reform. The TSI Project has led to the identification of enablers and bottlenecks across the ten participating countries for contributing to the drivers. This Guidance Paper focusses on </w:t>
      </w:r>
      <w:r w:rsidR="00554631">
        <w:rPr>
          <w:lang w:val="en-US"/>
        </w:rPr>
        <w:t xml:space="preserve">practices put in place in countries to </w:t>
      </w:r>
      <w:r w:rsidR="00A34A57">
        <w:rPr>
          <w:lang w:val="en-US"/>
        </w:rPr>
        <w:t>deliver human-centred public services</w:t>
      </w:r>
      <w:r w:rsidR="002E1FA1">
        <w:rPr>
          <w:lang w:val="en-US"/>
        </w:rPr>
        <w:t xml:space="preserve">, in particular in relation to </w:t>
      </w:r>
      <w:r w:rsidRPr="00051078" w:rsidR="00956706">
        <w:rPr>
          <w:b/>
          <w:bCs/>
          <w:lang w:val="en-US"/>
        </w:rPr>
        <w:t>(i) accessing (ii) navigating and (iii) achieving the results they require from public services</w:t>
      </w:r>
      <w:r w:rsidR="00826DA4">
        <w:rPr>
          <w:b/>
          <w:bCs/>
          <w:lang w:val="en-US"/>
        </w:rPr>
        <w:t xml:space="preserve"> </w:t>
      </w:r>
      <w:r w:rsidRPr="00832509" w:rsidR="00826DA4">
        <w:rPr>
          <w:lang w:val="en-US"/>
        </w:rPr>
        <w:t>(</w:t>
      </w:r>
      <w:r w:rsidR="00826DA4">
        <w:rPr>
          <w:lang w:val="en-US"/>
        </w:rPr>
        <w:fldChar w:fldCharType="begin"/>
      </w:r>
      <w:r w:rsidR="00826DA4">
        <w:rPr>
          <w:lang w:val="en-US"/>
        </w:rPr>
        <w:instrText xml:space="preserve"> REF _Ref223362519 \h </w:instrText>
      </w:r>
      <w:r w:rsidR="00826DA4">
        <w:rPr>
          <w:lang w:val="en-US"/>
        </w:rPr>
      </w:r>
      <w:r w:rsidR="00826DA4">
        <w:rPr>
          <w:lang w:val="en-US"/>
        </w:rPr>
        <w:fldChar w:fldCharType="separate"/>
      </w:r>
      <w:r w:rsidR="00543B3D">
        <w:t>Figure </w:t>
      </w:r>
      <w:r w:rsidR="00543B3D">
        <w:rPr>
          <w:noProof/>
        </w:rPr>
        <w:t>1</w:t>
      </w:r>
      <w:r w:rsidR="00543B3D">
        <w:t>.</w:t>
      </w:r>
      <w:r w:rsidR="00543B3D">
        <w:rPr>
          <w:noProof/>
        </w:rPr>
        <w:t>3</w:t>
      </w:r>
      <w:r w:rsidR="00826DA4">
        <w:rPr>
          <w:lang w:val="en-US"/>
        </w:rPr>
        <w:fldChar w:fldCharType="end"/>
      </w:r>
      <w:r w:rsidRPr="00832509" w:rsidR="00826DA4">
        <w:rPr>
          <w:lang w:val="en-US"/>
        </w:rPr>
        <w:t>)</w:t>
      </w:r>
      <w:r w:rsidRPr="00832509" w:rsidR="00956706">
        <w:rPr>
          <w:lang w:val="en-US"/>
        </w:rPr>
        <w:t xml:space="preserve">. </w:t>
      </w:r>
    </w:p>
    <w:p w:rsidR="004949E9" w:rsidRDefault="004949E9" w14:paraId="611152E8" w14:textId="7E5E1D7A">
      <w:pPr>
        <w:pStyle w:val="Caption"/>
      </w:pPr>
      <w:bookmarkStart w:name="_Ref223362519" w:id="10"/>
      <w:bookmarkStart w:name="_Toc223413757" w:id="11"/>
      <w:r>
        <w:t>Figure </w:t>
      </w:r>
      <w:r>
        <w:rPr>
          <w:noProof/>
        </w:rPr>
        <w:fldChar w:fldCharType="begin"/>
      </w:r>
      <w:r>
        <w:rPr>
          <w:noProof/>
        </w:rPr>
        <w:instrText xml:space="preserve"> STYLEREF 1 \s </w:instrText>
      </w:r>
      <w:r>
        <w:rPr>
          <w:noProof/>
        </w:rPr>
        <w:fldChar w:fldCharType="separate"/>
      </w:r>
      <w:r w:rsidR="00543B3D">
        <w:rPr>
          <w:noProof/>
        </w:rPr>
        <w:t>1</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3</w:t>
      </w:r>
      <w:r>
        <w:rPr>
          <w:noProof/>
        </w:rPr>
        <w:fldChar w:fldCharType="end"/>
      </w:r>
      <w:bookmarkEnd w:id="10"/>
      <w:r>
        <w:t>. Distribution of nine drivers by aspects of the User Journey</w:t>
      </w:r>
      <w:bookmarkEnd w:id="11"/>
      <w:r>
        <w:t xml:space="preserve"> </w:t>
      </w:r>
    </w:p>
    <w:p w:rsidR="004949E9" w:rsidRDefault="007E6704" w14:paraId="3BA4970C" w14:textId="16993159">
      <w:pPr>
        <w:pStyle w:val="Figure"/>
        <w:rPr>
          <w:i/>
        </w:rPr>
      </w:pPr>
      <w:r w:rsidRPr="007E6704">
        <w:rPr>
          <w:noProof/>
        </w:rPr>
        <w:drawing>
          <wp:inline distT="0" distB="0" distL="0" distR="0" wp14:anchorId="0E06CE0B" wp14:editId="59DAF10A">
            <wp:extent cx="4800600" cy="2803534"/>
            <wp:effectExtent l="0" t="0" r="0" b="0"/>
            <wp:docPr id="1187504912" name="Picture 1" descr="A diagram of a ser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504912" name="Picture 1" descr="A diagram of a service&#10;&#10;AI-generated content may be incorrect."/>
                    <pic:cNvPicPr/>
                  </pic:nvPicPr>
                  <pic:blipFill rotWithShape="1">
                    <a:blip r:embed="rId15"/>
                    <a:srcRect b="12292"/>
                    <a:stretch>
                      <a:fillRect/>
                    </a:stretch>
                  </pic:blipFill>
                  <pic:spPr bwMode="auto">
                    <a:xfrm>
                      <a:off x="0" y="0"/>
                      <a:ext cx="4810389" cy="2809251"/>
                    </a:xfrm>
                    <a:prstGeom prst="rect">
                      <a:avLst/>
                    </a:prstGeom>
                    <a:ln>
                      <a:noFill/>
                    </a:ln>
                    <a:extLst>
                      <a:ext uri="{53640926-AAD7-44D8-BBD7-CCE9431645EC}">
                        <a14:shadowObscured xmlns:a14="http://schemas.microsoft.com/office/drawing/2010/main"/>
                      </a:ext>
                    </a:extLst>
                  </pic:spPr>
                </pic:pic>
              </a:graphicData>
            </a:graphic>
          </wp:inline>
        </w:drawing>
      </w:r>
    </w:p>
    <w:p w:rsidRPr="00454399" w:rsidR="004949E9" w:rsidRDefault="004949E9" w14:paraId="19847873" w14:textId="79705F42">
      <w:pPr>
        <w:pStyle w:val="Sourcenotes"/>
      </w:pPr>
      <w:r w:rsidRPr="004802B4">
        <w:t xml:space="preserve">Source: </w:t>
      </w:r>
      <w:r w:rsidR="007E6704">
        <w:t xml:space="preserve">Author illustration </w:t>
      </w:r>
    </w:p>
    <w:p w:rsidRPr="00D01C57" w:rsidR="005E4F7B" w:rsidP="004066C5" w:rsidRDefault="005E4F7B" w14:paraId="3860E701" w14:textId="77777777">
      <w:pPr>
        <w:pStyle w:val="Para0"/>
        <w:rPr>
          <w:lang w:val="en-US"/>
        </w:rPr>
      </w:pPr>
    </w:p>
    <w:p w:rsidR="00F90603" w:rsidP="001B196B" w:rsidRDefault="00F90603" w14:paraId="173D2FA5" w14:textId="0A1FBE64">
      <w:pPr>
        <w:pStyle w:val="Heading1"/>
        <w:framePr w:wrap="notBeside" w:x="1319" w:y="-101"/>
        <w:rPr>
          <w:lang w:val="en-US"/>
        </w:rPr>
      </w:pPr>
      <w:bookmarkStart w:name="_Toc223413727" w:id="12"/>
      <w:r>
        <w:rPr>
          <w:lang w:val="en-US"/>
        </w:rPr>
        <w:t>Access</w:t>
      </w:r>
      <w:r w:rsidR="009B4808">
        <w:rPr>
          <w:lang w:val="en-US"/>
        </w:rPr>
        <w:t>ing</w:t>
      </w:r>
      <w:r>
        <w:rPr>
          <w:lang w:val="en-US"/>
        </w:rPr>
        <w:t xml:space="preserve"> public services</w:t>
      </w:r>
      <w:bookmarkEnd w:id="12"/>
      <w:r>
        <w:rPr>
          <w:lang w:val="en-US"/>
        </w:rPr>
        <w:t xml:space="preserve"> </w:t>
      </w:r>
    </w:p>
    <w:p w:rsidR="00F90603" w:rsidP="00673DA3" w:rsidRDefault="00AB3B4D" w14:paraId="7056B0B5" w14:textId="08A26676">
      <w:pPr>
        <w:pStyle w:val="Para0"/>
        <w:rPr>
          <w:lang w:val="en-US"/>
        </w:rPr>
      </w:pPr>
      <w:r w:rsidRPr="006D4153">
        <w:rPr>
          <w:b/>
          <w:lang w:val="en-US"/>
        </w:rPr>
        <w:t>A</w:t>
      </w:r>
      <w:r w:rsidRPr="006D4153" w:rsidR="006A7D9B">
        <w:rPr>
          <w:b/>
          <w:lang w:val="en-US"/>
        </w:rPr>
        <w:t xml:space="preserve">ccess </w:t>
      </w:r>
      <w:r w:rsidRPr="006D4153" w:rsidR="006D4153">
        <w:rPr>
          <w:b/>
          <w:lang w:val="en-US"/>
        </w:rPr>
        <w:t xml:space="preserve">to public services </w:t>
      </w:r>
      <w:r w:rsidRPr="006D4153" w:rsidR="00340685">
        <w:rPr>
          <w:b/>
          <w:lang w:val="en-US"/>
        </w:rPr>
        <w:t>refers to</w:t>
      </w:r>
      <w:r w:rsidRPr="006D4153" w:rsidR="00A813F7">
        <w:rPr>
          <w:b/>
          <w:lang w:val="en-US"/>
        </w:rPr>
        <w:t xml:space="preserve"> </w:t>
      </w:r>
      <w:r w:rsidRPr="006D4153" w:rsidR="003C6F16">
        <w:rPr>
          <w:b/>
          <w:lang w:val="en-US"/>
        </w:rPr>
        <w:t xml:space="preserve">how </w:t>
      </w:r>
      <w:r w:rsidRPr="006D4153" w:rsidR="008F46C1">
        <w:rPr>
          <w:b/>
          <w:lang w:val="en-US"/>
        </w:rPr>
        <w:t xml:space="preserve">easily and effectively </w:t>
      </w:r>
      <w:r w:rsidRPr="006D4153" w:rsidR="0077597F">
        <w:rPr>
          <w:b/>
          <w:lang w:val="en-US"/>
        </w:rPr>
        <w:t xml:space="preserve">users can </w:t>
      </w:r>
      <w:r w:rsidRPr="006D4153" w:rsidR="00FC008D">
        <w:rPr>
          <w:b/>
          <w:lang w:val="en-US"/>
        </w:rPr>
        <w:t>find</w:t>
      </w:r>
      <w:r w:rsidRPr="006D4153" w:rsidR="00A813F7">
        <w:rPr>
          <w:b/>
          <w:lang w:val="en-US"/>
        </w:rPr>
        <w:t xml:space="preserve"> </w:t>
      </w:r>
      <w:r w:rsidRPr="006D4153" w:rsidR="0071745A">
        <w:rPr>
          <w:b/>
          <w:lang w:val="en-US"/>
        </w:rPr>
        <w:t xml:space="preserve">and utilise the service to meet </w:t>
      </w:r>
      <w:r w:rsidRPr="006D4153" w:rsidR="000A121D">
        <w:rPr>
          <w:b/>
          <w:lang w:val="en-US"/>
        </w:rPr>
        <w:t>their needs</w:t>
      </w:r>
      <w:r w:rsidR="000A121D">
        <w:rPr>
          <w:lang w:val="en-US"/>
        </w:rPr>
        <w:t xml:space="preserve">. </w:t>
      </w:r>
      <w:r w:rsidR="00F90603">
        <w:rPr>
          <w:lang w:val="en-US"/>
        </w:rPr>
        <w:t xml:space="preserve">The TSI Satisfaction Survey has identified </w:t>
      </w:r>
      <w:r w:rsidRPr="002A5870" w:rsidR="00F90603">
        <w:rPr>
          <w:lang w:val="en-US"/>
        </w:rPr>
        <w:t xml:space="preserve">three key drivers of satisfaction relating to the </w:t>
      </w:r>
      <w:r w:rsidRPr="002A5870" w:rsidR="00F90603">
        <w:rPr>
          <w:bCs/>
          <w:lang w:val="en-US"/>
        </w:rPr>
        <w:t>access</w:t>
      </w:r>
      <w:r w:rsidR="00F90603">
        <w:rPr>
          <w:lang w:val="en-US"/>
        </w:rPr>
        <w:t xml:space="preserve"> stage of the User Journey</w:t>
      </w:r>
      <w:r w:rsidR="00C00169">
        <w:rPr>
          <w:lang w:val="en-US"/>
        </w:rPr>
        <w:t>: (i) Placing the User at the Centre</w:t>
      </w:r>
      <w:r w:rsidR="00491069">
        <w:rPr>
          <w:lang w:val="en-US"/>
        </w:rPr>
        <w:t>,</w:t>
      </w:r>
      <w:r w:rsidR="00C00169">
        <w:rPr>
          <w:lang w:val="en-US"/>
        </w:rPr>
        <w:t xml:space="preserve"> (ii) Proactive Services</w:t>
      </w:r>
      <w:r w:rsidR="00491069">
        <w:rPr>
          <w:lang w:val="en-US"/>
        </w:rPr>
        <w:t>, and</w:t>
      </w:r>
      <w:r w:rsidR="00C00169">
        <w:rPr>
          <w:lang w:val="en-US"/>
        </w:rPr>
        <w:t xml:space="preserve"> (iii) Accessible Services. These are presented in turn below. </w:t>
      </w:r>
      <w:r w:rsidR="001C540F">
        <w:rPr>
          <w:lang w:val="en-US"/>
        </w:rPr>
        <w:t xml:space="preserve"> </w:t>
      </w:r>
    </w:p>
    <w:p w:rsidR="00F90603" w:rsidP="00F90603" w:rsidRDefault="00F90603" w14:paraId="7EE644BB" w14:textId="67D8B6D8">
      <w:pPr>
        <w:pStyle w:val="Heading2"/>
        <w:rPr>
          <w:lang w:val="en-US"/>
        </w:rPr>
      </w:pPr>
      <w:bookmarkStart w:name="_Toc223413728" w:id="13"/>
      <w:r>
        <w:rPr>
          <w:lang w:val="en-US"/>
        </w:rPr>
        <w:t xml:space="preserve">Placing the </w:t>
      </w:r>
      <w:r w:rsidR="00370F9D">
        <w:rPr>
          <w:lang w:val="en-US"/>
        </w:rPr>
        <w:t>u</w:t>
      </w:r>
      <w:r>
        <w:rPr>
          <w:lang w:val="en-US"/>
        </w:rPr>
        <w:t xml:space="preserve">ser at the </w:t>
      </w:r>
      <w:r w:rsidR="00370F9D">
        <w:rPr>
          <w:lang w:val="en-US"/>
        </w:rPr>
        <w:t>c</w:t>
      </w:r>
      <w:r>
        <w:rPr>
          <w:lang w:val="en-US"/>
        </w:rPr>
        <w:t xml:space="preserve">entre: Users </w:t>
      </w:r>
      <w:r w:rsidR="0096078F">
        <w:rPr>
          <w:lang w:val="en-US"/>
        </w:rPr>
        <w:t>want</w:t>
      </w:r>
      <w:r>
        <w:rPr>
          <w:lang w:val="en-US"/>
        </w:rPr>
        <w:t xml:space="preserve"> services to fulfil their needs</w:t>
      </w:r>
      <w:bookmarkEnd w:id="13"/>
      <w:r>
        <w:rPr>
          <w:lang w:val="en-US"/>
        </w:rPr>
        <w:t xml:space="preserve"> </w:t>
      </w:r>
    </w:p>
    <w:p w:rsidR="006E6733" w:rsidP="006E6733" w:rsidRDefault="006E6733" w14:paraId="3ABF2565" w14:textId="77777777">
      <w:pPr>
        <w:pStyle w:val="Para0"/>
      </w:pPr>
      <w:r w:rsidRPr="00326B32">
        <w:rPr>
          <w:b/>
        </w:rPr>
        <w:t>Placing the user at the centre requires public services to meet users’ individual needs.</w:t>
      </w:r>
      <w:r>
        <w:t xml:space="preserve"> </w:t>
      </w:r>
      <w:r w:rsidRPr="00980BBA">
        <w:t xml:space="preserve">A human-centred approach to administrative services </w:t>
      </w:r>
      <w:r>
        <w:t>focusses on</w:t>
      </w:r>
      <w:r w:rsidRPr="00980BBA">
        <w:t xml:space="preserve"> </w:t>
      </w:r>
      <w:r>
        <w:t xml:space="preserve">effectively </w:t>
      </w:r>
      <w:r w:rsidRPr="00980BBA">
        <w:t xml:space="preserve">aligning service outcomes with what users need, </w:t>
      </w:r>
      <w:r>
        <w:t xml:space="preserve">and </w:t>
      </w:r>
      <w:r w:rsidRPr="00980BBA">
        <w:t xml:space="preserve">ensuring the results </w:t>
      </w:r>
      <w:r>
        <w:t xml:space="preserve">are </w:t>
      </w:r>
      <w:r w:rsidRPr="00980BBA">
        <w:t>reliable and expected.</w:t>
      </w:r>
      <w:r>
        <w:t xml:space="preserve"> Services in their essence are to address the needs of their users, not to serve institutional processes or their own internal functions. </w:t>
      </w:r>
    </w:p>
    <w:p w:rsidRPr="00454399" w:rsidR="006E6733" w:rsidP="006E6733" w:rsidRDefault="006E6733" w14:paraId="520A6A75" w14:textId="77777777">
      <w:pPr>
        <w:pStyle w:val="Para"/>
        <w:numPr>
          <w:ilvl w:val="0"/>
          <w:numId w:val="0"/>
        </w:numPr>
      </w:pPr>
      <w:r w:rsidRPr="00FA770A">
        <w:rPr>
          <w:b/>
        </w:rPr>
        <w:t>The</w:t>
      </w:r>
      <w:r>
        <w:rPr>
          <w:b/>
        </w:rPr>
        <w:t xml:space="preserve"> TSI</w:t>
      </w:r>
      <w:r w:rsidRPr="00FA770A">
        <w:rPr>
          <w:b/>
        </w:rPr>
        <w:t xml:space="preserve"> Satisfaction Survey</w:t>
      </w:r>
      <w:r w:rsidRPr="00152DBC">
        <w:t>, conducted as part of this project,</w:t>
      </w:r>
      <w:r w:rsidRPr="00FA770A">
        <w:rPr>
          <w:b/>
        </w:rPr>
        <w:t xml:space="preserve"> underscored the perception of services meeting users’ needs as the second most important satisfaction driver across the EU-10, with the probability of increasing users’ satisfaction by 9 percentage points on average</w:t>
      </w:r>
      <w:r w:rsidRPr="00E16890">
        <w:t xml:space="preserve">. </w:t>
      </w:r>
      <w:r>
        <w:t>P</w:t>
      </w:r>
      <w:r w:rsidRPr="00E16890">
        <w:t>utting users at the centre of service design, delivery and evaluation is critical to both understanding users and their needs better and increasing their satisfaction with services.</w:t>
      </w:r>
    </w:p>
    <w:p w:rsidR="006E6733" w:rsidRDefault="006E6733" w14:paraId="09CDE461" w14:textId="74A2F161">
      <w:pPr>
        <w:widowControl/>
        <w:spacing w:after="200" w:line="276" w:lineRule="auto"/>
        <w:jc w:val="left"/>
        <w:rPr>
          <w:color w:val="000000" w:themeColor="text1"/>
          <w:sz w:val="20"/>
        </w:rPr>
      </w:pPr>
      <w:r>
        <w:br w:type="page"/>
      </w:r>
    </w:p>
    <w:tbl>
      <w:tblPr>
        <w:tblStyle w:val="OECD"/>
        <w:tblW w:w="0" w:type="auto"/>
        <w:tblLook w:val="04A0" w:firstRow="1" w:lastRow="0" w:firstColumn="1" w:lastColumn="0" w:noHBand="0" w:noVBand="1"/>
      </w:tblPr>
      <w:tblGrid>
        <w:gridCol w:w="9298"/>
      </w:tblGrid>
      <w:tr w:rsidR="00EE7985" w:rsidTr="00EE7985" w14:paraId="37CA603B" w14:textId="77777777">
        <w:tc>
          <w:tcPr>
            <w:tcW w:w="9298" w:type="dxa"/>
            <w:shd w:val="clear" w:color="auto" w:fill="244061" w:themeFill="accent1" w:themeFillShade="80"/>
          </w:tcPr>
          <w:p w:rsidRPr="00703A21" w:rsidR="00EE7985" w:rsidP="00EE7985" w:rsidRDefault="00703A21" w14:paraId="712F7783" w14:textId="18B7820D">
            <w:pPr>
              <w:pStyle w:val="Para0"/>
              <w:jc w:val="center"/>
              <w:rPr>
                <w:b/>
                <w:bCs/>
                <w:color w:val="FFFFFF" w:themeColor="background1"/>
                <w:sz w:val="24"/>
                <w:szCs w:val="24"/>
              </w:rPr>
            </w:pPr>
            <w:bookmarkStart w:name="_Hlk215169300" w:id="14"/>
            <w:r w:rsidRPr="00703A21">
              <w:rPr>
                <w:b/>
                <w:bCs/>
                <w:noProof/>
                <w:color w:val="FFFFFF" w:themeColor="background1"/>
                <w:sz w:val="24"/>
                <w:szCs w:val="24"/>
              </w:rPr>
              <w:drawing>
                <wp:anchor distT="0" distB="0" distL="114300" distR="114300" simplePos="0" relativeHeight="251658245" behindDoc="1" locked="0" layoutInCell="1" allowOverlap="1" wp14:anchorId="7D42622B" wp14:editId="3F2A066D">
                  <wp:simplePos x="0" y="0"/>
                  <wp:positionH relativeFrom="column">
                    <wp:posOffset>4921250</wp:posOffset>
                  </wp:positionH>
                  <wp:positionV relativeFrom="paragraph">
                    <wp:posOffset>23495</wp:posOffset>
                  </wp:positionV>
                  <wp:extent cx="914400" cy="914400"/>
                  <wp:effectExtent l="0" t="0" r="0" b="0"/>
                  <wp:wrapTight wrapText="bothSides">
                    <wp:wrapPolygon edited="0">
                      <wp:start x="7650" y="1350"/>
                      <wp:lineTo x="6300" y="4050"/>
                      <wp:lineTo x="5850" y="6300"/>
                      <wp:lineTo x="7200" y="9450"/>
                      <wp:lineTo x="3150" y="13500"/>
                      <wp:lineTo x="2250" y="14850"/>
                      <wp:lineTo x="2250" y="19350"/>
                      <wp:lineTo x="18900" y="19350"/>
                      <wp:lineTo x="19350" y="15750"/>
                      <wp:lineTo x="18000" y="13500"/>
                      <wp:lineTo x="13950" y="9450"/>
                      <wp:lineTo x="15300" y="6300"/>
                      <wp:lineTo x="14850" y="3150"/>
                      <wp:lineTo x="12600" y="1350"/>
                      <wp:lineTo x="7650" y="1350"/>
                    </wp:wrapPolygon>
                  </wp:wrapTight>
                  <wp:docPr id="8" name="Graphic 9" descr="Male profile with solid fill">
                    <a:extLst xmlns:a="http://schemas.openxmlformats.org/drawingml/2006/main">
                      <a:ext uri="{FF2B5EF4-FFF2-40B4-BE49-F238E27FC236}">
                        <a16:creationId xmlns:a16="http://schemas.microsoft.com/office/drawing/2014/main" id="{B7C8702F-2BF8-C298-122E-A6D0E747D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9" descr="Male profile with solid fill">
                            <a:extLst>
                              <a:ext uri="{FF2B5EF4-FFF2-40B4-BE49-F238E27FC236}">
                                <a16:creationId xmlns:a16="http://schemas.microsoft.com/office/drawing/2014/main" id="{B7C8702F-2BF8-C298-122E-A6D0E747D968}"/>
                              </a:ext>
                            </a:extLst>
                          </pic:cNvPr>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914400" cy="914400"/>
                          </a:xfrm>
                          <a:prstGeom prst="rect">
                            <a:avLst/>
                          </a:prstGeom>
                        </pic:spPr>
                      </pic:pic>
                    </a:graphicData>
                  </a:graphic>
                </wp:anchor>
              </w:drawing>
            </w:r>
            <w:r w:rsidRPr="00703A21" w:rsidR="00EE7985">
              <w:rPr>
                <w:b/>
                <w:bCs/>
                <w:color w:val="FFFFFF" w:themeColor="background1"/>
                <w:sz w:val="24"/>
                <w:szCs w:val="24"/>
              </w:rPr>
              <w:t xml:space="preserve">Spotlight on results from the TSI Satisfaction Survey </w:t>
            </w:r>
          </w:p>
          <w:p w:rsidRPr="00703A21" w:rsidR="00EE7985" w:rsidP="00EE7985" w:rsidRDefault="00EE7985" w14:paraId="7ECBE2AB" w14:textId="77777777">
            <w:pPr>
              <w:pStyle w:val="Para0"/>
              <w:jc w:val="center"/>
              <w:rPr>
                <w:b/>
                <w:bCs/>
                <w:color w:val="FFFFFF" w:themeColor="background1"/>
                <w:sz w:val="24"/>
                <w:szCs w:val="24"/>
              </w:rPr>
            </w:pPr>
            <w:r w:rsidRPr="00703A21">
              <w:rPr>
                <w:b/>
                <w:bCs/>
                <w:color w:val="FFFFFF" w:themeColor="background1"/>
                <w:sz w:val="24"/>
                <w:szCs w:val="24"/>
              </w:rPr>
              <w:t xml:space="preserve">User at the Centre </w:t>
            </w:r>
          </w:p>
          <w:p w:rsidRPr="00051078" w:rsidR="00051078" w:rsidP="00DB1CA1" w:rsidRDefault="00703A21" w14:paraId="71F2568A" w14:textId="77777777">
            <w:pPr>
              <w:pStyle w:val="Para0"/>
              <w:numPr>
                <w:ilvl w:val="0"/>
                <w:numId w:val="27"/>
              </w:numPr>
              <w:rPr>
                <w:b/>
                <w:bCs/>
                <w:color w:val="FFFFFF" w:themeColor="background1"/>
              </w:rPr>
            </w:pPr>
            <w:r>
              <w:rPr>
                <w:b/>
                <w:bCs/>
                <w:color w:val="FFFFFF" w:themeColor="background1"/>
              </w:rPr>
              <w:t xml:space="preserve">73% </w:t>
            </w:r>
            <w:r>
              <w:rPr>
                <w:color w:val="FFFFFF" w:themeColor="background1"/>
              </w:rPr>
              <w:t>of users in the EU-10 reported satisfaction with how service met their needs</w:t>
            </w:r>
            <w:r w:rsidR="00D102A3">
              <w:rPr>
                <w:color w:val="FFFFFF" w:themeColor="background1"/>
              </w:rPr>
              <w:t>.</w:t>
            </w:r>
            <w:r>
              <w:rPr>
                <w:color w:val="FFFFFF" w:themeColor="background1"/>
              </w:rPr>
              <w:t xml:space="preserve"> </w:t>
            </w:r>
          </w:p>
          <w:p w:rsidRPr="00857C26" w:rsidR="00703A21" w:rsidP="00DB1CA1" w:rsidRDefault="00051078" w14:paraId="7663E936" w14:textId="08F4B451">
            <w:pPr>
              <w:pStyle w:val="Para0"/>
              <w:numPr>
                <w:ilvl w:val="0"/>
                <w:numId w:val="27"/>
              </w:numPr>
              <w:rPr>
                <w:b/>
                <w:bCs/>
                <w:color w:val="FFFFFF" w:themeColor="background1"/>
              </w:rPr>
            </w:pPr>
            <w:r>
              <w:rPr>
                <w:b/>
                <w:bCs/>
                <w:color w:val="FFFFFF" w:themeColor="background1"/>
              </w:rPr>
              <w:t xml:space="preserve">Variations in level of satisfaction exist depending on the Life Event. </w:t>
            </w:r>
          </w:p>
          <w:p w:rsidRPr="00703A21" w:rsidR="00857C26" w:rsidP="00857C26" w:rsidRDefault="00AE10E9" w14:paraId="2CC375DF" w14:textId="4E9054E9">
            <w:pPr>
              <w:pStyle w:val="Para0"/>
              <w:rPr>
                <w:b/>
                <w:bCs/>
                <w:color w:val="FFFFFF" w:themeColor="background1"/>
              </w:rPr>
            </w:pPr>
            <w:r>
              <w:rPr>
                <w:b/>
                <w:bCs/>
                <w:noProof/>
                <w:color w:val="FFFFFF" w:themeColor="background1"/>
              </w:rPr>
              <w:drawing>
                <wp:inline distT="0" distB="0" distL="0" distR="0" wp14:anchorId="38003E00" wp14:editId="793938FB">
                  <wp:extent cx="5901690" cy="4368019"/>
                  <wp:effectExtent l="0" t="0" r="0" b="0"/>
                  <wp:docPr id="925775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7457"/>
                          <a:stretch>
                            <a:fillRect/>
                          </a:stretch>
                        </pic:blipFill>
                        <pic:spPr bwMode="auto">
                          <a:xfrm>
                            <a:off x="0" y="0"/>
                            <a:ext cx="5901690" cy="4368019"/>
                          </a:xfrm>
                          <a:prstGeom prst="rect">
                            <a:avLst/>
                          </a:prstGeom>
                          <a:noFill/>
                          <a:ln>
                            <a:noFill/>
                          </a:ln>
                          <a:extLst>
                            <a:ext uri="{53640926-AAD7-44D8-BBD7-CCE9431645EC}">
                              <a14:shadowObscured xmlns:a14="http://schemas.microsoft.com/office/drawing/2010/main"/>
                            </a:ext>
                          </a:extLst>
                        </pic:spPr>
                      </pic:pic>
                    </a:graphicData>
                  </a:graphic>
                </wp:inline>
              </w:drawing>
            </w:r>
          </w:p>
          <w:p w:rsidRPr="00D02DD9" w:rsidR="00D02DD9" w:rsidP="00D02DD9" w:rsidRDefault="00D02DD9" w14:paraId="29006C12" w14:textId="7618BE69">
            <w:pPr>
              <w:pStyle w:val="Para0"/>
              <w:rPr>
                <w:b/>
                <w:bCs/>
                <w:color w:val="FFFFFF" w:themeColor="background1"/>
                <w:sz w:val="16"/>
                <w:szCs w:val="16"/>
              </w:rPr>
            </w:pPr>
            <w:r w:rsidRPr="00832509">
              <w:rPr>
                <w:color w:val="FFFFFF" w:themeColor="background1"/>
                <w:sz w:val="16"/>
                <w:szCs w:val="16"/>
              </w:rPr>
              <w:t xml:space="preserve">Note: </w:t>
            </w:r>
            <w:r w:rsidRPr="00832509" w:rsidR="00C33C52">
              <w:rPr>
                <w:color w:val="FFFFFF" w:themeColor="background1"/>
                <w:sz w:val="16"/>
                <w:szCs w:val="16"/>
              </w:rPr>
              <w:t xml:space="preserve">The </w:t>
            </w:r>
            <w:r w:rsidRPr="00832509" w:rsidR="00F81C32">
              <w:rPr>
                <w:color w:val="FFFFFF" w:themeColor="background1"/>
                <w:sz w:val="16"/>
                <w:szCs w:val="16"/>
              </w:rPr>
              <w:t xml:space="preserve">dark </w:t>
            </w:r>
            <w:r w:rsidRPr="00832509" w:rsidR="00C33C52">
              <w:rPr>
                <w:color w:val="FFFFFF" w:themeColor="background1"/>
                <w:sz w:val="16"/>
                <w:szCs w:val="16"/>
              </w:rPr>
              <w:t>blue</w:t>
            </w:r>
            <w:r w:rsidRPr="00832509" w:rsidR="00D607AC">
              <w:rPr>
                <w:color w:val="FFFFFF" w:themeColor="background1"/>
                <w:sz w:val="16"/>
                <w:szCs w:val="16"/>
              </w:rPr>
              <w:t xml:space="preserve"> arch represents the average satisfaction level with this driver for user of all Life Events across the EU-10. The green pointer represents the satisfaction level of the user for this driver when experiencing the specific Life Event. </w:t>
            </w:r>
            <w:r w:rsidRPr="00832509" w:rsidR="00923DB0">
              <w:rPr>
                <w:color w:val="FFFFFF" w:themeColor="background1"/>
                <w:sz w:val="16"/>
                <w:szCs w:val="16"/>
              </w:rPr>
              <w:t>The pointer position shows whether satisfaction for the specific Life Event is higher or lower than the overall average.</w:t>
            </w:r>
            <w:r w:rsidR="00923DB0">
              <w:rPr>
                <w:b/>
                <w:bCs/>
                <w:color w:val="FFFFFF" w:themeColor="background1"/>
                <w:sz w:val="16"/>
                <w:szCs w:val="16"/>
              </w:rPr>
              <w:t xml:space="preserve"> </w:t>
            </w:r>
          </w:p>
          <w:p w:rsidR="00051078" w:rsidP="00DB1CA1" w:rsidRDefault="00051078" w14:paraId="20FE5615" w14:textId="2B299D72">
            <w:pPr>
              <w:pStyle w:val="Para0"/>
              <w:numPr>
                <w:ilvl w:val="0"/>
                <w:numId w:val="27"/>
              </w:numPr>
              <w:rPr>
                <w:b/>
                <w:bCs/>
                <w:color w:val="FFFFFF" w:themeColor="background1"/>
              </w:rPr>
            </w:pPr>
            <w:r w:rsidRPr="00832509">
              <w:rPr>
                <w:b/>
                <w:bCs/>
                <w:color w:val="FFFFFF" w:themeColor="background1"/>
              </w:rPr>
              <w:t>The variation in satisfaction level</w:t>
            </w:r>
            <w:r w:rsidRPr="00832509" w:rsidR="00E64437">
              <w:rPr>
                <w:b/>
                <w:bCs/>
                <w:color w:val="FFFFFF" w:themeColor="background1"/>
              </w:rPr>
              <w:t>s</w:t>
            </w:r>
            <w:r w:rsidRPr="00832509">
              <w:rPr>
                <w:b/>
                <w:bCs/>
                <w:color w:val="FFFFFF" w:themeColor="background1"/>
              </w:rPr>
              <w:t xml:space="preserve"> by Life Event may relate to the complexities of certain Life Events and the challenges faced by countries to adapt the user journey to the specificities of each user.</w:t>
            </w:r>
            <w:r w:rsidR="00E979FD">
              <w:rPr>
                <w:color w:val="FFFFFF" w:themeColor="background1"/>
              </w:rPr>
              <w:t xml:space="preserve"> Users who experienced</w:t>
            </w:r>
            <w:r>
              <w:rPr>
                <w:color w:val="FFFFFF" w:themeColor="background1"/>
              </w:rPr>
              <w:t xml:space="preserve"> Life Events such as </w:t>
            </w:r>
            <w:r w:rsidR="00E979FD">
              <w:rPr>
                <w:color w:val="FFFFFF" w:themeColor="background1"/>
              </w:rPr>
              <w:t xml:space="preserve">having a baby/adopting a child, retiring and filing income taxes have similar levels of satisfaction to the overall EU-10 average. Some Life Events, such as </w:t>
            </w:r>
            <w:r w:rsidR="00570670">
              <w:rPr>
                <w:color w:val="FFFFFF" w:themeColor="background1"/>
              </w:rPr>
              <w:t>getting or renewing an official ID and getting or renewing a driving licen</w:t>
            </w:r>
            <w:r w:rsidR="00AD3644">
              <w:rPr>
                <w:color w:val="FFFFFF" w:themeColor="background1"/>
              </w:rPr>
              <w:t>s</w:t>
            </w:r>
            <w:r w:rsidR="00570670">
              <w:rPr>
                <w:color w:val="FFFFFF" w:themeColor="background1"/>
              </w:rPr>
              <w:t xml:space="preserve">e are almost 10 percentage points higher than the average. However, the Satisfaction Survey has shown that user satisfaction with more complex Life Events such as </w:t>
            </w:r>
            <w:r w:rsidR="00773224">
              <w:rPr>
                <w:color w:val="FFFFFF" w:themeColor="background1"/>
              </w:rPr>
              <w:t xml:space="preserve">lost/looking for a job (59%) and losing a loved one (67%) are below the 73% average. </w:t>
            </w:r>
            <w:r w:rsidR="005804E9">
              <w:rPr>
                <w:bCs/>
                <w:color w:val="FFFFFF" w:themeColor="background1"/>
              </w:rPr>
              <w:t xml:space="preserve">These Life Events have been identified by countries as more complex to design and deliver due to the multiplication of actors both at central and local levels. </w:t>
            </w:r>
          </w:p>
          <w:p w:rsidRPr="002071E9" w:rsidR="00703A21" w:rsidP="00DB1CA1" w:rsidRDefault="00703A21" w14:paraId="712CB360" w14:textId="2EB64192">
            <w:pPr>
              <w:pStyle w:val="Para0"/>
              <w:numPr>
                <w:ilvl w:val="0"/>
                <w:numId w:val="27"/>
              </w:numPr>
              <w:rPr>
                <w:b/>
                <w:bCs/>
                <w:color w:val="FFFFFF" w:themeColor="background1"/>
              </w:rPr>
            </w:pPr>
            <w:r>
              <w:rPr>
                <w:b/>
                <w:bCs/>
                <w:color w:val="FFFFFF" w:themeColor="background1"/>
              </w:rPr>
              <w:t xml:space="preserve">No significant differences in satisfaction </w:t>
            </w:r>
            <w:r w:rsidR="002071E9">
              <w:rPr>
                <w:b/>
                <w:bCs/>
                <w:color w:val="FFFFFF" w:themeColor="background1"/>
              </w:rPr>
              <w:t xml:space="preserve">were observed across living area </w:t>
            </w:r>
            <w:r w:rsidRPr="002071E9" w:rsidR="002071E9">
              <w:rPr>
                <w:b/>
                <w:bCs/>
                <w:color w:val="FFFFFF" w:themeColor="background1"/>
                <w:lang w:val="en-GB"/>
              </w:rPr>
              <w:t>(</w:t>
            </w:r>
            <w:r w:rsidRPr="002071E9" w:rsidR="002071E9">
              <w:rPr>
                <w:color w:val="FFFFFF" w:themeColor="background1"/>
                <w:lang w:val="en-GB"/>
              </w:rPr>
              <w:t>74% for users in rural areas versus 73% for those in urban areas),</w:t>
            </w:r>
            <w:r w:rsidRPr="002071E9" w:rsidR="002071E9">
              <w:rPr>
                <w:b/>
                <w:bCs/>
                <w:color w:val="FFFFFF" w:themeColor="background1"/>
                <w:lang w:val="en-GB"/>
              </w:rPr>
              <w:t xml:space="preserve"> gender </w:t>
            </w:r>
            <w:r w:rsidRPr="002071E9" w:rsidR="002071E9">
              <w:rPr>
                <w:color w:val="FFFFFF" w:themeColor="background1"/>
                <w:lang w:val="en-GB"/>
              </w:rPr>
              <w:t>(73% for both female and male respondents)</w:t>
            </w:r>
            <w:r w:rsidRPr="002071E9" w:rsidR="002071E9">
              <w:rPr>
                <w:b/>
                <w:bCs/>
                <w:color w:val="FFFFFF" w:themeColor="background1"/>
                <w:lang w:val="en-GB"/>
              </w:rPr>
              <w:t xml:space="preserve"> or education level (</w:t>
            </w:r>
            <w:r w:rsidRPr="002071E9" w:rsidR="002071E9">
              <w:rPr>
                <w:color w:val="FFFFFF" w:themeColor="background1"/>
                <w:lang w:val="en-GB"/>
              </w:rPr>
              <w:t>72% for respondents with low or middle level of education compared to 74% for those with Bachelor’s degree or higher)</w:t>
            </w:r>
          </w:p>
          <w:p w:rsidRPr="00EE7985" w:rsidR="002071E9" w:rsidP="00DB1CA1" w:rsidRDefault="00F55BE7" w14:paraId="17912F25" w14:textId="34EB0167">
            <w:pPr>
              <w:pStyle w:val="Para0"/>
              <w:numPr>
                <w:ilvl w:val="0"/>
                <w:numId w:val="27"/>
              </w:numPr>
              <w:rPr>
                <w:b/>
                <w:bCs/>
                <w:color w:val="FFFFFF" w:themeColor="background1"/>
              </w:rPr>
            </w:pPr>
            <w:r w:rsidRPr="00F55BE7">
              <w:rPr>
                <w:b/>
                <w:bCs/>
                <w:color w:val="FFFFFF" w:themeColor="background1"/>
                <w:lang w:val="en-GB"/>
              </w:rPr>
              <w:t xml:space="preserve">Younger people and respondents with lower levels of digital </w:t>
            </w:r>
            <w:r w:rsidRPr="00F55BE7" w:rsidR="006E0A31">
              <w:rPr>
                <w:b/>
                <w:bCs/>
                <w:color w:val="FFFFFF" w:themeColor="background1"/>
                <w:lang w:val="en-GB"/>
              </w:rPr>
              <w:t>skills, on</w:t>
            </w:r>
            <w:r w:rsidRPr="00F55BE7">
              <w:rPr>
                <w:b/>
                <w:bCs/>
                <w:color w:val="FFFFFF" w:themeColor="background1"/>
                <w:lang w:val="en-GB"/>
              </w:rPr>
              <w:t xml:space="preserve"> average report lower satisfaction with how services met their needs</w:t>
            </w:r>
            <w:r>
              <w:rPr>
                <w:b/>
                <w:bCs/>
                <w:color w:val="FFFFFF" w:themeColor="background1"/>
                <w:lang w:val="en-GB"/>
              </w:rPr>
              <w:t xml:space="preserve">. </w:t>
            </w:r>
            <w:r w:rsidRPr="00F55BE7">
              <w:rPr>
                <w:color w:val="FFFFFF" w:themeColor="background1"/>
                <w:lang w:val="en-GB"/>
              </w:rPr>
              <w:t xml:space="preserve">As such, 67% of those aged 18-29 are satisfied in contrast to 71% for the 30-49 </w:t>
            </w:r>
            <w:r w:rsidRPr="00F55BE7">
              <w:rPr>
                <w:color w:val="FFFFFF" w:themeColor="background1"/>
                <w:lang w:val="en-GB"/>
              </w:rPr>
              <w:t>group and 77% for respondents over 50. Surveyed users with low or middle digital skills report by 9 percentage points lower satisfaction than users with high digital skills. While the reasons for lower satisfaction levels among younger and less digitally advanced users potentially differ across countries, this trend may be rooted in the additional efforts required by these groups to obtain what they need from the services compared to other subgroups. Younger people may lack the experience in navigating public services, while those with limited digital skills may encounter difficulties in accessing the services and obtaining what they look for through digital means in comparison to in-person options.</w:t>
            </w:r>
          </w:p>
        </w:tc>
      </w:tr>
    </w:tbl>
    <w:bookmarkEnd w:id="14"/>
    <w:p w:rsidR="00F90603" w:rsidP="00435A1C" w:rsidRDefault="00435A1C" w14:paraId="6F92FEC2" w14:textId="5C2A24C9">
      <w:pPr>
        <w:pStyle w:val="Heading3"/>
      </w:pPr>
      <w:r>
        <w:t xml:space="preserve">Country </w:t>
      </w:r>
      <w:r w:rsidR="00370F9D">
        <w:t>p</w:t>
      </w:r>
      <w:r>
        <w:t xml:space="preserve">ractices and </w:t>
      </w:r>
      <w:r w:rsidR="00370F9D">
        <w:t>l</w:t>
      </w:r>
      <w:r>
        <w:t xml:space="preserve">essons </w:t>
      </w:r>
      <w:r w:rsidR="00370F9D">
        <w:t>l</w:t>
      </w:r>
      <w:r>
        <w:t>earned</w:t>
      </w:r>
    </w:p>
    <w:p w:rsidR="00F77225" w:rsidP="00F77225" w:rsidRDefault="00F77225" w14:paraId="12B58B97" w14:textId="023A3A32">
      <w:pPr>
        <w:pStyle w:val="Heading4"/>
      </w:pPr>
      <w:r>
        <w:t xml:space="preserve">Life </w:t>
      </w:r>
      <w:r w:rsidR="006E6733">
        <w:t>E</w:t>
      </w:r>
      <w:r>
        <w:t>vent approaches to take the users’ perspective and meet their needs</w:t>
      </w:r>
    </w:p>
    <w:p w:rsidR="00E709BC" w:rsidP="005C77A0" w:rsidRDefault="005C77A0" w14:paraId="78F7275D" w14:textId="0C391208">
      <w:pPr>
        <w:pStyle w:val="Para0"/>
      </w:pPr>
      <w:bookmarkStart w:name="_Ref215087896" w:id="15"/>
      <w:r w:rsidRPr="00832509">
        <w:rPr>
          <w:b/>
          <w:bCs/>
        </w:rPr>
        <w:t xml:space="preserve">A key practice implemented in countries to ensure that public services meet user needs is the enhanced focus by countries in rolling out the Life Event approach. </w:t>
      </w:r>
      <w:r>
        <w:t>M</w:t>
      </w:r>
      <w:r w:rsidRPr="00C11728">
        <w:t xml:space="preserve">aturity </w:t>
      </w:r>
      <w:r>
        <w:t>in</w:t>
      </w:r>
      <w:r w:rsidRPr="00C11728">
        <w:t xml:space="preserve"> the Life Event approach</w:t>
      </w:r>
      <w:r>
        <w:t xml:space="preserve"> varies across the EU-10, with eight countries already implementing it and the remaining two – Croatia and Ireland - planning adoption</w:t>
      </w:r>
      <w:r w:rsidRPr="00C11728">
        <w:t xml:space="preserve">. </w:t>
      </w:r>
      <w:r>
        <w:t>Among the eight, i</w:t>
      </w:r>
      <w:r w:rsidRPr="00C11728">
        <w:t xml:space="preserve">mplementation ranges from countries that are grouping information </w:t>
      </w:r>
      <w:r>
        <w:t xml:space="preserve">under ‘life events’ categories </w:t>
      </w:r>
      <w:r w:rsidRPr="00C11728">
        <w:t>and others that are actively providing integrated services</w:t>
      </w:r>
      <w:r>
        <w:t xml:space="preserve"> (</w:t>
      </w:r>
      <w:r w:rsidR="00902E3B">
        <w:fldChar w:fldCharType="begin"/>
      </w:r>
      <w:r w:rsidR="00902E3B">
        <w:instrText xml:space="preserve"> REF _Ref215219521 \h </w:instrText>
      </w:r>
      <w:r w:rsidR="00902E3B">
        <w:fldChar w:fldCharType="separate"/>
      </w:r>
      <w:r w:rsidR="00543B3D">
        <w:t>Figure </w:t>
      </w:r>
      <w:r w:rsidR="00543B3D">
        <w:rPr>
          <w:noProof/>
        </w:rPr>
        <w:t>2</w:t>
      </w:r>
      <w:r w:rsidR="00543B3D">
        <w:t>.</w:t>
      </w:r>
      <w:r w:rsidR="00543B3D">
        <w:rPr>
          <w:noProof/>
        </w:rPr>
        <w:t>1</w:t>
      </w:r>
      <w:r w:rsidR="00902E3B">
        <w:fldChar w:fldCharType="end"/>
      </w:r>
      <w:r>
        <w:t>)</w:t>
      </w:r>
      <w:r w:rsidRPr="00C11728">
        <w:t>.</w:t>
      </w:r>
      <w:r>
        <w:t xml:space="preserve"> </w:t>
      </w:r>
    </w:p>
    <w:p w:rsidR="005C77A0" w:rsidP="005C77A0" w:rsidRDefault="005C77A0" w14:paraId="6310A588" w14:textId="79921646">
      <w:pPr>
        <w:pStyle w:val="Para0"/>
      </w:pPr>
      <w:r w:rsidRPr="00832509">
        <w:rPr>
          <w:b/>
          <w:bCs/>
        </w:rPr>
        <w:t>While most countries are evolving in the grouping of information on public services through a Life Events lens, challenges have been identified by countries in integrating services and having actors working together to move to the integration of public services delivered through Life Events.</w:t>
      </w:r>
      <w:r>
        <w:t xml:space="preserve"> The Life Events relating to (i) death of a loved one, (ii) getting married, (iii) retiring (iv) starting a business and (v) loss of employment are covered by seven of the ten countries. The majority of these countries focus on information grouping for their Life Event approaches. </w:t>
      </w:r>
      <w:r w:rsidR="00CF5353">
        <w:t xml:space="preserve">Similarly, information grouping is used in six countries for the Life Events ‘death of a loved one’ and ‘getting married’. </w:t>
      </w:r>
      <w:r>
        <w:t xml:space="preserve">However, in relation to the Life Event ‘starting a business’ and ‘having a baby’, integrated services have been rolled out in the majority of countries covering these Life Events. Some countries use a variation of approaches depending on the Life Event. For example, Latvia provides integrated services for the Life Events (i) death of a loved one (ii) getting married, (iii) retiring (iv) loss of employment and (v) having a baby. </w:t>
      </w:r>
    </w:p>
    <w:p w:rsidR="002D0AB6" w:rsidRDefault="002D0AB6" w14:paraId="313406C4" w14:textId="5CF776F3">
      <w:pPr>
        <w:pStyle w:val="Caption"/>
      </w:pPr>
      <w:bookmarkStart w:name="_Ref215219521" w:id="16"/>
      <w:bookmarkStart w:name="_Toc223413758" w:id="17"/>
      <w:r>
        <w:t>Figure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1</w:t>
      </w:r>
      <w:r>
        <w:rPr>
          <w:noProof/>
        </w:rPr>
        <w:fldChar w:fldCharType="end"/>
      </w:r>
      <w:bookmarkEnd w:id="15"/>
      <w:bookmarkEnd w:id="16"/>
      <w:r>
        <w:t>. Life Event Approaches in EU-10</w:t>
      </w:r>
      <w:bookmarkEnd w:id="17"/>
      <w:r>
        <w:t xml:space="preserve"> </w:t>
      </w:r>
    </w:p>
    <w:p w:rsidR="002D0AB6" w:rsidRDefault="002D0AB6" w14:paraId="426C9F4E" w14:textId="52CCD57A">
      <w:pPr>
        <w:pStyle w:val="Figure"/>
        <w:rPr>
          <w:i/>
        </w:rPr>
      </w:pPr>
      <w:r>
        <w:rPr>
          <w:noProof/>
        </w:rPr>
        <w:drawing>
          <wp:inline distT="0" distB="0" distL="0" distR="0" wp14:anchorId="17267B4B" wp14:editId="1BD79159">
            <wp:extent cx="4738977" cy="3789036"/>
            <wp:effectExtent l="0" t="0" r="5080" b="2540"/>
            <wp:docPr id="760737254" name="Picture 3" descr="A graph of blue and whit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737254" name="Picture 3" descr="A graph of blue and white bar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65857" cy="3810528"/>
                    </a:xfrm>
                    <a:prstGeom prst="rect">
                      <a:avLst/>
                    </a:prstGeom>
                    <a:noFill/>
                    <a:ln>
                      <a:noFill/>
                    </a:ln>
                  </pic:spPr>
                </pic:pic>
              </a:graphicData>
            </a:graphic>
          </wp:inline>
        </w:drawing>
      </w:r>
    </w:p>
    <w:p w:rsidRPr="00454399" w:rsidR="002D0AB6" w:rsidRDefault="002D0AB6" w14:paraId="1244FC17" w14:textId="47B022B9">
      <w:pPr>
        <w:pStyle w:val="Sourcenotes"/>
      </w:pPr>
      <w:r w:rsidRPr="004802B4">
        <w:t xml:space="preserve">Source: </w:t>
      </w:r>
      <w:r>
        <w:t>Serving Citizens 2024</w:t>
      </w:r>
    </w:p>
    <w:p w:rsidR="00844E95" w:rsidP="00F77225" w:rsidRDefault="00F77225" w14:paraId="250BB0A9" w14:textId="6D524572">
      <w:pPr>
        <w:pStyle w:val="Para0"/>
      </w:pPr>
      <w:r w:rsidRPr="00832509">
        <w:rPr>
          <w:b/>
          <w:bCs/>
        </w:rPr>
        <w:t>In addition to ensuring all relevant public services are identified for Life Events, it is important to also consider the interconnection of Life Events.</w:t>
      </w:r>
      <w:r>
        <w:t xml:space="preserve"> For many citizens, Life Events do not occur in silo but can often occur in parallel.</w:t>
      </w:r>
      <w:r w:rsidR="00902E3B">
        <w:t xml:space="preserve"> This can be observed through the </w:t>
      </w:r>
      <w:r w:rsidR="006B1A23">
        <w:t xml:space="preserve">TSI Satisfaction Survey data </w:t>
      </w:r>
      <w:r w:rsidR="00851CAC">
        <w:t xml:space="preserve">where users reported experiencing </w:t>
      </w:r>
      <w:r w:rsidR="00844E95">
        <w:t>one or more Life Events over the previous 12 months</w:t>
      </w:r>
      <w:r w:rsidR="000562F6">
        <w:t xml:space="preserve"> (</w:t>
      </w:r>
      <w:r w:rsidR="000562F6">
        <w:fldChar w:fldCharType="begin"/>
      </w:r>
      <w:r w:rsidR="000562F6">
        <w:instrText xml:space="preserve"> REF _Ref215219740 \h </w:instrText>
      </w:r>
      <w:r w:rsidR="000562F6">
        <w:fldChar w:fldCharType="separate"/>
      </w:r>
      <w:r w:rsidR="00543B3D">
        <w:t>Figure </w:t>
      </w:r>
      <w:r w:rsidR="00543B3D">
        <w:rPr>
          <w:noProof/>
        </w:rPr>
        <w:t>2</w:t>
      </w:r>
      <w:r w:rsidR="00543B3D">
        <w:t>.</w:t>
      </w:r>
      <w:r w:rsidR="00543B3D">
        <w:rPr>
          <w:noProof/>
        </w:rPr>
        <w:t>2</w:t>
      </w:r>
      <w:r w:rsidR="000562F6">
        <w:fldChar w:fldCharType="end"/>
      </w:r>
      <w:r w:rsidR="00A45404">
        <w:t>)</w:t>
      </w:r>
      <w:r w:rsidR="00844E95">
        <w:t xml:space="preserve">. </w:t>
      </w:r>
    </w:p>
    <w:p w:rsidR="00844E95" w:rsidRDefault="00844E95" w14:paraId="67A1A9C8" w14:textId="3B06AB85">
      <w:pPr>
        <w:pStyle w:val="Caption"/>
      </w:pPr>
      <w:bookmarkStart w:name="_Ref215219740" w:id="18"/>
      <w:bookmarkStart w:name="_Toc223413759" w:id="19"/>
      <w:r>
        <w:t>Figure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2</w:t>
      </w:r>
      <w:r>
        <w:rPr>
          <w:noProof/>
        </w:rPr>
        <w:fldChar w:fldCharType="end"/>
      </w:r>
      <w:bookmarkEnd w:id="18"/>
      <w:r>
        <w:t xml:space="preserve">. </w:t>
      </w:r>
      <w:r w:rsidR="00A15016">
        <w:t>Citizens accessed one or more Life Events over the previous 12 months, EU-10</w:t>
      </w:r>
      <w:bookmarkEnd w:id="19"/>
    </w:p>
    <w:p w:rsidR="00844E95" w:rsidRDefault="00A15016" w14:paraId="27C2C450" w14:textId="1C4AB782">
      <w:pPr>
        <w:pStyle w:val="Figure"/>
        <w:rPr>
          <w:i/>
        </w:rPr>
      </w:pPr>
      <w:r w:rsidRPr="00A15016">
        <w:rPr>
          <w:noProof/>
        </w:rPr>
        <w:drawing>
          <wp:inline distT="0" distB="0" distL="0" distR="0" wp14:anchorId="796EC413" wp14:editId="73295E71">
            <wp:extent cx="5716987" cy="2276834"/>
            <wp:effectExtent l="0" t="0" r="0" b="9525"/>
            <wp:docPr id="2028082026" name="Picture 1" descr="A blue rectangles with white text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082026" name="Picture 1" descr="A blue rectangles with white text and symbols&#10;&#10;AI-generated content may be incorrect."/>
                    <pic:cNvPicPr/>
                  </pic:nvPicPr>
                  <pic:blipFill>
                    <a:blip r:embed="rId20"/>
                    <a:stretch>
                      <a:fillRect/>
                    </a:stretch>
                  </pic:blipFill>
                  <pic:spPr>
                    <a:xfrm>
                      <a:off x="0" y="0"/>
                      <a:ext cx="5720139" cy="2278089"/>
                    </a:xfrm>
                    <a:prstGeom prst="rect">
                      <a:avLst/>
                    </a:prstGeom>
                  </pic:spPr>
                </pic:pic>
              </a:graphicData>
            </a:graphic>
          </wp:inline>
        </w:drawing>
      </w:r>
    </w:p>
    <w:p w:rsidRPr="004802B4" w:rsidR="00844E95" w:rsidRDefault="00844E95" w14:paraId="75F1FF96" w14:textId="60451219">
      <w:pPr>
        <w:pStyle w:val="Sourcenotes"/>
      </w:pPr>
      <w:r w:rsidRPr="004802B4">
        <w:t xml:space="preserve">Note: </w:t>
      </w:r>
      <w:r w:rsidR="000562F6">
        <w:t>Question: Which of the following Life Events did you experience over the last 12</w:t>
      </w:r>
      <w:r w:rsidR="007C343C">
        <w:t>-</w:t>
      </w:r>
      <w:r w:rsidR="000562F6">
        <w:t>months</w:t>
      </w:r>
      <w:r w:rsidR="007C343C">
        <w:t>?</w:t>
      </w:r>
    </w:p>
    <w:p w:rsidRPr="00454399" w:rsidR="00844E95" w:rsidRDefault="00844E95" w14:paraId="5FE7051E" w14:textId="2543F999">
      <w:pPr>
        <w:pStyle w:val="Sourcenotes"/>
      </w:pPr>
      <w:r w:rsidRPr="004802B4">
        <w:t xml:space="preserve">Source: </w:t>
      </w:r>
      <w:r w:rsidR="000562F6">
        <w:t>TSI Satisfaction Survey</w:t>
      </w:r>
      <w:r w:rsidR="00A45404">
        <w:t>, 2024</w:t>
      </w:r>
    </w:p>
    <w:p w:rsidR="00844E95" w:rsidP="00F77225" w:rsidRDefault="00375FB4" w14:paraId="47F4C003" w14:textId="3DA9FBF7">
      <w:pPr>
        <w:pStyle w:val="Para0"/>
      </w:pPr>
      <w:r w:rsidRPr="004678DC">
        <w:rPr>
          <w:b/>
          <w:bCs/>
        </w:rPr>
        <w:t>Understanding the frequency of the Life Events can provide further insights to public administrations to understand the regularity of use of specific Life Events.</w:t>
      </w:r>
      <w:r>
        <w:t xml:space="preserve">  </w:t>
      </w:r>
      <w:r w:rsidR="000562F6">
        <w:fldChar w:fldCharType="begin"/>
      </w:r>
      <w:r w:rsidR="000562F6">
        <w:instrText xml:space="preserve"> REF _Ref215219740 \h </w:instrText>
      </w:r>
      <w:r w:rsidR="000562F6">
        <w:fldChar w:fldCharType="separate"/>
      </w:r>
      <w:r w:rsidR="00543B3D">
        <w:t>Figure </w:t>
      </w:r>
      <w:r w:rsidR="00543B3D">
        <w:rPr>
          <w:noProof/>
        </w:rPr>
        <w:t>2</w:t>
      </w:r>
      <w:r w:rsidR="00543B3D">
        <w:t>.</w:t>
      </w:r>
      <w:r w:rsidR="00543B3D">
        <w:rPr>
          <w:noProof/>
        </w:rPr>
        <w:t>2</w:t>
      </w:r>
      <w:r w:rsidR="000562F6">
        <w:fldChar w:fldCharType="end"/>
      </w:r>
      <w:r w:rsidR="000562F6">
        <w:t xml:space="preserve"> shows that </w:t>
      </w:r>
      <w:r w:rsidR="00C11374">
        <w:t>the Life Events link</w:t>
      </w:r>
      <w:r w:rsidR="00C0278C">
        <w:t>ed</w:t>
      </w:r>
      <w:r w:rsidR="00C11374">
        <w:t xml:space="preserve"> to administrative services that are undertaken multiple times over the course of a user’s life (e.g. filing income taxes, getting or renewing an official ID</w:t>
      </w:r>
      <w:r w:rsidR="006753A7">
        <w:t>)</w:t>
      </w:r>
      <w:r w:rsidR="00C11374">
        <w:t xml:space="preserve"> </w:t>
      </w:r>
      <w:r w:rsidR="006753A7">
        <w:t xml:space="preserve">were experienced by a large proportion of the sample surveyed. </w:t>
      </w:r>
    </w:p>
    <w:p w:rsidR="00844E95" w:rsidP="00F77225" w:rsidRDefault="001404DC" w14:paraId="591559AF" w14:textId="495713DB">
      <w:pPr>
        <w:pStyle w:val="Para0"/>
      </w:pPr>
      <w:r>
        <w:t xml:space="preserve">In addition to understanding the frequency of Life Events, </w:t>
      </w:r>
      <w:r w:rsidRPr="00832509">
        <w:rPr>
          <w:b/>
          <w:bCs/>
        </w:rPr>
        <w:t xml:space="preserve">understanding Life Events that tend to occur at specific moments of a users’ life can also contribute to </w:t>
      </w:r>
      <w:r w:rsidRPr="00832509" w:rsidR="00BB21BA">
        <w:rPr>
          <w:b/>
          <w:bCs/>
        </w:rPr>
        <w:t>understanding how public services and Life Events can be designed together.</w:t>
      </w:r>
      <w:r w:rsidR="00BB21BA">
        <w:t xml:space="preserve"> </w:t>
      </w:r>
      <w:r w:rsidR="00BB21BA">
        <w:fldChar w:fldCharType="begin"/>
      </w:r>
      <w:r w:rsidR="00BB21BA">
        <w:instrText xml:space="preserve"> REF _Ref215219928 \h </w:instrText>
      </w:r>
      <w:r w:rsidR="00BB21BA">
        <w:fldChar w:fldCharType="separate"/>
      </w:r>
      <w:r w:rsidR="00543B3D">
        <w:t>Figure </w:t>
      </w:r>
      <w:r w:rsidR="00543B3D">
        <w:rPr>
          <w:noProof/>
        </w:rPr>
        <w:t>2</w:t>
      </w:r>
      <w:r w:rsidR="00543B3D">
        <w:t>.</w:t>
      </w:r>
      <w:r w:rsidR="00543B3D">
        <w:rPr>
          <w:noProof/>
        </w:rPr>
        <w:t>3</w:t>
      </w:r>
      <w:r w:rsidR="00BB21BA">
        <w:fldChar w:fldCharType="end"/>
      </w:r>
      <w:r w:rsidR="00BB21BA">
        <w:t xml:space="preserve"> provides an overview of the 15 Life Events experienced by age categories.</w:t>
      </w:r>
      <w:r w:rsidR="008571D2">
        <w:t xml:space="preserve"> </w:t>
      </w:r>
      <w:r w:rsidR="00137F77">
        <w:t xml:space="preserve">As outlined in the Figure, certain Life Events can occur during a specific period of a User’s Life from the age of 18 to 40. It is often expected, for instance, that </w:t>
      </w:r>
      <w:r w:rsidR="001F6841">
        <w:t xml:space="preserve">Life Events such as ‘becoming a student’, ‘getting a driving licence’, ‘having a baby’, ‘getting married/entering in a partnership’ tend to occur between the ages of 18 and 40 years of age. </w:t>
      </w:r>
    </w:p>
    <w:p w:rsidR="00F77225" w:rsidP="00F77225" w:rsidRDefault="00F77225" w14:paraId="27DC3BCB" w14:textId="5B8B0AFF">
      <w:pPr>
        <w:pStyle w:val="Caption"/>
      </w:pPr>
      <w:bookmarkStart w:name="_Ref215219928" w:id="20"/>
      <w:bookmarkStart w:name="_Toc223413760" w:id="21"/>
      <w:r>
        <w:t>Figure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3</w:t>
      </w:r>
      <w:r>
        <w:rPr>
          <w:noProof/>
        </w:rPr>
        <w:fldChar w:fldCharType="end"/>
      </w:r>
      <w:bookmarkEnd w:id="20"/>
      <w:r>
        <w:t>. Overview of Life Events by age categories</w:t>
      </w:r>
      <w:bookmarkEnd w:id="21"/>
      <w:r>
        <w:t xml:space="preserve"> </w:t>
      </w:r>
    </w:p>
    <w:p w:rsidR="00F77225" w:rsidP="00F77225" w:rsidRDefault="008571D2" w14:paraId="46EE9291" w14:textId="039C84D8">
      <w:pPr>
        <w:pStyle w:val="Figure"/>
        <w:rPr>
          <w:i/>
        </w:rPr>
      </w:pPr>
      <w:r w:rsidRPr="008571D2">
        <w:rPr>
          <w:noProof/>
        </w:rPr>
        <w:drawing>
          <wp:inline distT="0" distB="0" distL="0" distR="0" wp14:anchorId="26A10473" wp14:editId="3AB6F02C">
            <wp:extent cx="5904230" cy="2727325"/>
            <wp:effectExtent l="0" t="0" r="1270" b="0"/>
            <wp:docPr id="2121435767" name="Picture 1" descr="A blue and orange rectangular box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435767" name="Picture 1" descr="A blue and orange rectangular boxes&#10;&#10;AI-generated content may be incorrect."/>
                    <pic:cNvPicPr/>
                  </pic:nvPicPr>
                  <pic:blipFill>
                    <a:blip r:embed="rId21"/>
                    <a:stretch>
                      <a:fillRect/>
                    </a:stretch>
                  </pic:blipFill>
                  <pic:spPr>
                    <a:xfrm>
                      <a:off x="0" y="0"/>
                      <a:ext cx="5904230" cy="2727325"/>
                    </a:xfrm>
                    <a:prstGeom prst="rect">
                      <a:avLst/>
                    </a:prstGeom>
                  </pic:spPr>
                </pic:pic>
              </a:graphicData>
            </a:graphic>
          </wp:inline>
        </w:drawing>
      </w:r>
    </w:p>
    <w:p w:rsidRPr="00454399" w:rsidR="00F77225" w:rsidP="00F77225" w:rsidRDefault="00F77225" w14:paraId="4979AAE1" w14:textId="77777777">
      <w:pPr>
        <w:pStyle w:val="Sourcenotes"/>
      </w:pPr>
      <w:r w:rsidRPr="004802B4">
        <w:t xml:space="preserve">Source: </w:t>
      </w:r>
      <w:r>
        <w:t xml:space="preserve">Author illustration </w:t>
      </w:r>
    </w:p>
    <w:p w:rsidR="00F77225" w:rsidP="00F77225" w:rsidRDefault="00F77225" w14:paraId="5B9D4A49" w14:textId="3711696B">
      <w:pPr>
        <w:pStyle w:val="Para0"/>
      </w:pPr>
      <w:r w:rsidRPr="00832509">
        <w:rPr>
          <w:b/>
          <w:bCs/>
        </w:rPr>
        <w:t xml:space="preserve">The </w:t>
      </w:r>
      <w:r w:rsidRPr="00375FB4">
        <w:rPr>
          <w:b/>
          <w:bCs/>
        </w:rPr>
        <w:t xml:space="preserve">deployment of approaches for mapping and understanding the user journey along </w:t>
      </w:r>
      <w:r w:rsidRPr="00375FB4" w:rsidR="001F6841">
        <w:rPr>
          <w:b/>
          <w:bCs/>
        </w:rPr>
        <w:t>a Life Event</w:t>
      </w:r>
      <w:r w:rsidRPr="00832509">
        <w:rPr>
          <w:b/>
          <w:bCs/>
        </w:rPr>
        <w:t xml:space="preserve"> has been a </w:t>
      </w:r>
      <w:r w:rsidRPr="00375FB4">
        <w:rPr>
          <w:b/>
          <w:bCs/>
        </w:rPr>
        <w:t>key enabler</w:t>
      </w:r>
      <w:r w:rsidRPr="00832509">
        <w:rPr>
          <w:b/>
          <w:bCs/>
        </w:rPr>
        <w:t xml:space="preserve"> for countries to understand the user’s overall journey and how it should be designed to meet their needs.</w:t>
      </w:r>
      <w:r>
        <w:t xml:space="preserve"> Dialogue with citizens is key to ensuring that their needs are heard when considering the reform of public service delivery. </w:t>
      </w:r>
      <w:r w:rsidR="002F4529">
        <w:t>Across the OECD, design thinking sessions (51%), focus groups (57%) and usability testing (72%) are the most common used methods to capture needs</w:t>
      </w:r>
      <w:sdt>
        <w:sdtPr>
          <w:id w:val="832804306"/>
          <w:citation/>
        </w:sdtPr>
        <w:sdtEndPr/>
        <w:sdtContent>
          <w:r w:rsidR="002F4529">
            <w:fldChar w:fldCharType="begin"/>
          </w:r>
          <w:r w:rsidR="002F4529">
            <w:instrText xml:space="preserve"> CITATION OEC24 \l 2057 </w:instrText>
          </w:r>
          <w:r w:rsidR="002F4529">
            <w:fldChar w:fldCharType="separate"/>
          </w:r>
          <w:r w:rsidR="00F86F21">
            <w:rPr>
              <w:noProof/>
            </w:rPr>
            <w:t xml:space="preserve"> </w:t>
          </w:r>
          <w:r w:rsidRPr="00F86F21" w:rsidR="00F86F21">
            <w:rPr>
              <w:noProof/>
            </w:rPr>
            <w:t>(OECD, 2024</w:t>
          </w:r>
          <w:r w:rsidRPr="00F86F21" w:rsidR="00F86F21">
            <w:rPr>
              <w:noProof/>
              <w:vertAlign w:val="subscript"/>
            </w:rPr>
            <w:t>[4]</w:t>
          </w:r>
          <w:r w:rsidRPr="00F86F21" w:rsidR="00F86F21">
            <w:rPr>
              <w:noProof/>
            </w:rPr>
            <w:t>)</w:t>
          </w:r>
          <w:r w:rsidR="002F4529">
            <w:fldChar w:fldCharType="end"/>
          </w:r>
        </w:sdtContent>
      </w:sdt>
      <w:r w:rsidR="002F4529">
        <w:t xml:space="preserve">. </w:t>
      </w:r>
      <w:r>
        <w:t xml:space="preserve">The TSI Project has identified the use of several innovative approaches for consulting with users at the beginning, and during the reform process. </w:t>
      </w:r>
      <w:r w:rsidR="00680307">
        <w:t>This includes the wide consultation of users in Finland (</w:t>
      </w:r>
      <w:r w:rsidR="00680307">
        <w:fldChar w:fldCharType="begin"/>
      </w:r>
      <w:r w:rsidR="00680307">
        <w:instrText xml:space="preserve"> REF _Ref215222640 \h </w:instrText>
      </w:r>
      <w:r w:rsidR="00680307">
        <w:fldChar w:fldCharType="separate"/>
      </w:r>
      <w:r w:rsidRPr="00B44A50" w:rsidR="00543B3D">
        <w:t>Box</w:t>
      </w:r>
      <w:r w:rsidR="00543B3D">
        <w:t> </w:t>
      </w:r>
      <w:r w:rsidR="00543B3D">
        <w:rPr>
          <w:noProof/>
        </w:rPr>
        <w:t>2</w:t>
      </w:r>
      <w:r w:rsidR="00543B3D">
        <w:t>.</w:t>
      </w:r>
      <w:r w:rsidR="00543B3D">
        <w:rPr>
          <w:noProof/>
        </w:rPr>
        <w:t>1</w:t>
      </w:r>
      <w:r w:rsidR="00680307">
        <w:fldChar w:fldCharType="end"/>
      </w:r>
      <w:r w:rsidR="00680307">
        <w:t xml:space="preserve">) and the deployment of </w:t>
      </w:r>
      <w:r w:rsidR="00942A92">
        <w:t>tools to consult users for the development of the ‘As-is’ situation in Ireland (</w:t>
      </w:r>
      <w:r w:rsidR="00942A92">
        <w:fldChar w:fldCharType="begin"/>
      </w:r>
      <w:r w:rsidR="00942A92">
        <w:instrText xml:space="preserve"> REF _Ref215222678 \h </w:instrText>
      </w:r>
      <w:r w:rsidR="00942A92">
        <w:fldChar w:fldCharType="separate"/>
      </w:r>
      <w:r w:rsidRPr="00B44A50" w:rsidR="00543B3D">
        <w:t>Box</w:t>
      </w:r>
      <w:r w:rsidR="00543B3D">
        <w:t> </w:t>
      </w:r>
      <w:r w:rsidR="00543B3D">
        <w:rPr>
          <w:noProof/>
        </w:rPr>
        <w:t>2</w:t>
      </w:r>
      <w:r w:rsidR="00543B3D">
        <w:t>.</w:t>
      </w:r>
      <w:r w:rsidR="00543B3D">
        <w:rPr>
          <w:noProof/>
        </w:rPr>
        <w:t>2</w:t>
      </w:r>
      <w:r w:rsidR="00942A92">
        <w:fldChar w:fldCharType="end"/>
      </w:r>
      <w:r w:rsidR="00942A92">
        <w:t>)</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F77225" w14:paraId="08729CA0"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F77225" w:rsidRDefault="00F77225" w14:paraId="3C37B679" w14:textId="33D743E9">
            <w:pPr>
              <w:pStyle w:val="Caption"/>
            </w:pPr>
            <w:bookmarkStart w:name="_Ref215222640" w:id="22"/>
            <w:bookmarkStart w:name="_Toc223413792" w:id="23"/>
            <w:bookmarkStart w:name="_Ref215222624" w:id="24"/>
            <w:r>
              <w:rPr>
                <w:noProof/>
              </w:rPr>
              <w:drawing>
                <wp:anchor distT="0" distB="0" distL="114300" distR="114300" simplePos="0" relativeHeight="251658248" behindDoc="1" locked="0" layoutInCell="1" allowOverlap="1" wp14:anchorId="77F5E592" wp14:editId="28EAFBAC">
                  <wp:simplePos x="0" y="0"/>
                  <wp:positionH relativeFrom="column">
                    <wp:posOffset>4726640</wp:posOffset>
                  </wp:positionH>
                  <wp:positionV relativeFrom="paragraph">
                    <wp:posOffset>75337</wp:posOffset>
                  </wp:positionV>
                  <wp:extent cx="995125" cy="608965"/>
                  <wp:effectExtent l="0" t="0" r="0" b="635"/>
                  <wp:wrapTight wrapText="bothSides">
                    <wp:wrapPolygon edited="0">
                      <wp:start x="0" y="0"/>
                      <wp:lineTo x="0" y="20947"/>
                      <wp:lineTo x="21090" y="20947"/>
                      <wp:lineTo x="21090" y="0"/>
                      <wp:lineTo x="0" y="0"/>
                    </wp:wrapPolygon>
                  </wp:wrapTight>
                  <wp:docPr id="2030772188" name="Picture 1" descr="A blue cros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72188" name="Picture 1" descr="A blue cross on a white background&#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95125" cy="608965"/>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1</w:t>
            </w:r>
            <w:r>
              <w:rPr>
                <w:noProof/>
              </w:rPr>
              <w:fldChar w:fldCharType="end"/>
            </w:r>
            <w:bookmarkEnd w:id="22"/>
            <w:r>
              <w:t xml:space="preserve">. </w:t>
            </w:r>
            <w:r w:rsidR="00A40062">
              <w:t xml:space="preserve">Finland - </w:t>
            </w:r>
            <w:r>
              <w:t>Approaches for understanding User Needs</w:t>
            </w:r>
            <w:bookmarkEnd w:id="23"/>
            <w:r>
              <w:t xml:space="preserve"> </w:t>
            </w:r>
            <w:bookmarkEnd w:id="24"/>
          </w:p>
          <w:p w:rsidRPr="00935F60" w:rsidR="00F77225" w:rsidP="00832509" w:rsidRDefault="00F77225" w14:paraId="406025A3" w14:textId="77777777">
            <w:pPr>
              <w:pStyle w:val="Para0"/>
              <w:rPr>
                <w:lang w:val="en-US"/>
              </w:rPr>
            </w:pPr>
            <w:r w:rsidRPr="00832509">
              <w:rPr>
                <w:b/>
                <w:bCs/>
                <w:lang w:val="en-US"/>
              </w:rPr>
              <w:t>Finland</w:t>
            </w:r>
            <w:r w:rsidRPr="00935F60">
              <w:rPr>
                <w:lang w:val="en-US"/>
              </w:rPr>
              <w:t xml:space="preserve"> has adopted a </w:t>
            </w:r>
            <w:r w:rsidRPr="00832509">
              <w:rPr>
                <w:b/>
                <w:bCs/>
                <w:lang w:val="en-US"/>
              </w:rPr>
              <w:t>National Dialogue Model</w:t>
            </w:r>
            <w:r w:rsidRPr="00935F60">
              <w:rPr>
                <w:lang w:val="en-US"/>
              </w:rPr>
              <w:t xml:space="preserve"> for</w:t>
            </w:r>
            <w:r>
              <w:rPr>
                <w:lang w:val="en-US"/>
              </w:rPr>
              <w:t xml:space="preserve"> understanding user needs. The National Dialogue is a widespread democratic innovation developed to increase social dialogue between citizens, communities and authorities. Between 2020 and 2025, 1000 discussions have taken place, with 390 organisers including associations (NGOs) (140), businesses and individuals (50). 8000 individuals have participated in the dialogues, with their age ranging from 5 to 90 years of age, with 14 languages covered. The Dialogues have been held in 130 locations across Finland. </w:t>
            </w:r>
          </w:p>
          <w:p w:rsidRPr="00775FF9" w:rsidR="00F77225" w:rsidRDefault="00F77225" w14:paraId="1EFDC4C6" w14:textId="309364C3">
            <w:pPr>
              <w:pStyle w:val="Sourcenotes"/>
            </w:pPr>
            <w:r>
              <w:t xml:space="preserve">Source: </w:t>
            </w:r>
            <w:r w:rsidRPr="002C34E1" w:rsidR="002C34E1">
              <w:t xml:space="preserve">Information obtained in country mission in </w:t>
            </w:r>
            <w:r w:rsidR="0042651E">
              <w:t>May</w:t>
            </w:r>
            <w:r w:rsidRPr="002C34E1" w:rsidR="002C34E1">
              <w:t xml:space="preserve"> 2025 as part of this TSI</w:t>
            </w:r>
            <w:r w:rsidR="00D470FD">
              <w:t>.</w:t>
            </w:r>
          </w:p>
        </w:tc>
      </w:tr>
    </w:tbl>
    <w:p w:rsidR="001F6841" w:rsidP="001F6841" w:rsidRDefault="001F6841" w14:paraId="5010FEBF" w14:textId="34F1477E">
      <w:pPr>
        <w:pStyle w:val="Para0"/>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1F6841" w14:paraId="40A231FE"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1F6841" w:rsidRDefault="00E63BDA" w14:paraId="58CBCAB6" w14:textId="28FFC8C2">
            <w:pPr>
              <w:pStyle w:val="Caption"/>
            </w:pPr>
            <w:bookmarkStart w:name="_Ref215222678" w:id="25"/>
            <w:bookmarkStart w:name="_Toc223413793" w:id="26"/>
            <w:r>
              <w:rPr>
                <w:noProof/>
              </w:rPr>
              <w:drawing>
                <wp:anchor distT="0" distB="0" distL="114300" distR="114300" simplePos="0" relativeHeight="251658260" behindDoc="0" locked="0" layoutInCell="1" allowOverlap="1" wp14:anchorId="7E0868A2" wp14:editId="6650E5BC">
                  <wp:simplePos x="0" y="0"/>
                  <wp:positionH relativeFrom="column">
                    <wp:posOffset>4792835</wp:posOffset>
                  </wp:positionH>
                  <wp:positionV relativeFrom="paragraph">
                    <wp:posOffset>38979</wp:posOffset>
                  </wp:positionV>
                  <wp:extent cx="930303" cy="465152"/>
                  <wp:effectExtent l="0" t="0" r="3175" b="0"/>
                  <wp:wrapNone/>
                  <wp:docPr id="1746219950" name="Picture 1" descr="A flag of ireland with a white green and orange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87553" name="Picture 1" descr="A flag of ireland with a white green and orange stripe&#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30303" cy="4651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4A50" w:rsidR="001F6841">
              <w:t>Box</w:t>
            </w:r>
            <w:r w:rsidR="001F6841">
              <w:t> </w:t>
            </w:r>
            <w:r w:rsidR="001F6841">
              <w:rPr>
                <w:noProof/>
              </w:rPr>
              <w:fldChar w:fldCharType="begin"/>
            </w:r>
            <w:r w:rsidR="001F6841">
              <w:rPr>
                <w:noProof/>
              </w:rPr>
              <w:instrText xml:space="preserve"> STYLEREF 1 \s </w:instrText>
            </w:r>
            <w:r w:rsidR="001F6841">
              <w:rPr>
                <w:noProof/>
              </w:rPr>
              <w:fldChar w:fldCharType="separate"/>
            </w:r>
            <w:r w:rsidR="00543B3D">
              <w:rPr>
                <w:noProof/>
              </w:rPr>
              <w:t>2</w:t>
            </w:r>
            <w:r w:rsidR="001F6841">
              <w:rPr>
                <w:noProof/>
              </w:rPr>
              <w:fldChar w:fldCharType="end"/>
            </w:r>
            <w:r w:rsidR="001F6841">
              <w:t>.</w:t>
            </w:r>
            <w:r w:rsidR="001F6841">
              <w:rPr>
                <w:noProof/>
              </w:rPr>
              <w:fldChar w:fldCharType="begin"/>
            </w:r>
            <w:r w:rsidR="001F6841">
              <w:rPr>
                <w:noProof/>
              </w:rPr>
              <w:instrText xml:space="preserve"> SEQ Box \* ARABIC \s 1 </w:instrText>
            </w:r>
            <w:r w:rsidR="001F6841">
              <w:rPr>
                <w:noProof/>
              </w:rPr>
              <w:fldChar w:fldCharType="separate"/>
            </w:r>
            <w:r w:rsidR="00543B3D">
              <w:rPr>
                <w:noProof/>
              </w:rPr>
              <w:t>2</w:t>
            </w:r>
            <w:r w:rsidR="001F6841">
              <w:rPr>
                <w:noProof/>
              </w:rPr>
              <w:fldChar w:fldCharType="end"/>
            </w:r>
            <w:bookmarkEnd w:id="25"/>
            <w:r w:rsidR="001F6841">
              <w:t xml:space="preserve">. </w:t>
            </w:r>
            <w:r w:rsidR="00A40062">
              <w:t xml:space="preserve">Ireland - </w:t>
            </w:r>
            <w:r w:rsidR="0046012A">
              <w:t>Approaches for understanding User Needs</w:t>
            </w:r>
            <w:bookmarkEnd w:id="26"/>
            <w:r w:rsidR="0046012A">
              <w:t xml:space="preserve"> </w:t>
            </w:r>
          </w:p>
          <w:p w:rsidR="00F1080E" w:rsidP="00832509" w:rsidRDefault="00E63BDA" w14:paraId="2FD1B73C" w14:textId="21BA42AE">
            <w:pPr>
              <w:pStyle w:val="Para0"/>
              <w:rPr>
                <w:lang w:val="en-US"/>
              </w:rPr>
            </w:pPr>
            <w:r>
              <w:rPr>
                <w:lang w:val="en-US"/>
              </w:rPr>
              <w:t xml:space="preserve">In </w:t>
            </w:r>
            <w:r w:rsidRPr="00832509">
              <w:rPr>
                <w:b/>
                <w:lang w:val="en-US"/>
              </w:rPr>
              <w:t>Ireland</w:t>
            </w:r>
            <w:r>
              <w:rPr>
                <w:lang w:val="en-US"/>
              </w:rPr>
              <w:t xml:space="preserve">, for the development of </w:t>
            </w:r>
            <w:r w:rsidR="0046012A">
              <w:rPr>
                <w:lang w:val="en-US"/>
              </w:rPr>
              <w:t xml:space="preserve">the Life Events ‘I had a baby’ and ‘becoming a student’, specific tools were deployed to understand the needs of users in the definition of the ‘As-is’ situation. The use of social media listening, for instance, enabled Ireland to identify obstacles to accessing public services through online social media sites and forums. The use of Focus Groups and interviews also enabled Ireland to identify specific obstacles faced by </w:t>
            </w:r>
            <w:r w:rsidR="00F1080E">
              <w:rPr>
                <w:lang w:val="en-US"/>
              </w:rPr>
              <w:t xml:space="preserve">future mothers when preparing for the birth of their child. </w:t>
            </w:r>
          </w:p>
          <w:p w:rsidR="00F1080E" w:rsidP="0050429A" w:rsidRDefault="00F1080E" w14:paraId="78D7AC3B" w14:textId="51CECC6D">
            <w:pPr>
              <w:pStyle w:val="Para0"/>
              <w:rPr>
                <w:rFonts w:asciiTheme="majorHAnsi" w:hAnsiTheme="majorHAnsi"/>
                <w:sz w:val="22"/>
                <w:lang w:val="en-US"/>
              </w:rPr>
            </w:pPr>
            <w:r>
              <w:rPr>
                <w:lang w:val="en-US"/>
              </w:rPr>
              <w:t>C</w:t>
            </w:r>
            <w:r w:rsidRPr="00F1080E">
              <w:rPr>
                <w:rFonts w:asciiTheme="majorHAnsi" w:hAnsiTheme="majorHAnsi"/>
                <w:sz w:val="22"/>
                <w:lang w:val="en-US"/>
              </w:rPr>
              <w:t xml:space="preserve">ollecting data from users’ experiences through the deployment of these tools enabled the identification of specific bottlenecks as well as the creation of ‘user personas’ for the development of the ‘To-be’ situation for Life Events. </w:t>
            </w:r>
          </w:p>
          <w:p w:rsidRPr="00F1080E" w:rsidR="00964752" w:rsidP="00964752" w:rsidRDefault="00964752" w14:paraId="68C89D59" w14:textId="2899F34E">
            <w:pPr>
              <w:pStyle w:val="Para0"/>
              <w:jc w:val="center"/>
              <w:rPr>
                <w:rFonts w:asciiTheme="majorHAnsi" w:hAnsiTheme="majorHAnsi"/>
                <w:sz w:val="22"/>
                <w:lang w:val="en-US"/>
              </w:rPr>
            </w:pPr>
            <w:r w:rsidRPr="00964752">
              <w:rPr>
                <w:rFonts w:asciiTheme="majorHAnsi" w:hAnsiTheme="majorHAnsi"/>
                <w:noProof/>
                <w:sz w:val="22"/>
                <w:lang w:val="en-US"/>
              </w:rPr>
              <w:drawing>
                <wp:inline distT="0" distB="0" distL="0" distR="0" wp14:anchorId="3517C7CF" wp14:editId="73D24DC6">
                  <wp:extent cx="3151163" cy="2773959"/>
                  <wp:effectExtent l="0" t="0" r="0" b="7620"/>
                  <wp:docPr id="468378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378653" name=""/>
                          <pic:cNvPicPr/>
                        </pic:nvPicPr>
                        <pic:blipFill>
                          <a:blip r:embed="rId24"/>
                          <a:stretch>
                            <a:fillRect/>
                          </a:stretch>
                        </pic:blipFill>
                        <pic:spPr>
                          <a:xfrm>
                            <a:off x="0" y="0"/>
                            <a:ext cx="3156070" cy="2778278"/>
                          </a:xfrm>
                          <a:prstGeom prst="rect">
                            <a:avLst/>
                          </a:prstGeom>
                        </pic:spPr>
                      </pic:pic>
                    </a:graphicData>
                  </a:graphic>
                </wp:inline>
              </w:drawing>
            </w:r>
          </w:p>
          <w:p w:rsidRPr="00775FF9" w:rsidR="001F6841" w:rsidRDefault="001F6841" w14:paraId="3C7070BF" w14:textId="61009A52">
            <w:pPr>
              <w:pStyle w:val="Sourcenotes"/>
            </w:pPr>
            <w:r>
              <w:t xml:space="preserve">Source: </w:t>
            </w:r>
            <w:r w:rsidR="006469E0">
              <w:t xml:space="preserve">Information obtained in country mission </w:t>
            </w:r>
            <w:r w:rsidRPr="00A45404" w:rsidR="006469E0">
              <w:t>in March</w:t>
            </w:r>
            <w:r w:rsidR="006469E0">
              <w:t xml:space="preserve"> 2025 as part of this TSI.</w:t>
            </w:r>
          </w:p>
        </w:tc>
      </w:tr>
    </w:tbl>
    <w:p w:rsidR="0050429A" w:rsidP="00014404" w:rsidRDefault="0050429A" w14:paraId="0F9AF96C" w14:textId="77777777">
      <w:pPr>
        <w:pStyle w:val="Heading4"/>
      </w:pPr>
    </w:p>
    <w:p w:rsidR="0050429A" w:rsidRDefault="0050429A" w14:paraId="3097C893" w14:textId="77777777">
      <w:pPr>
        <w:widowControl/>
        <w:spacing w:after="200" w:line="276" w:lineRule="auto"/>
        <w:jc w:val="left"/>
        <w:rPr>
          <w:rFonts w:eastAsiaTheme="majorEastAsia" w:cstheme="majorBidi"/>
          <w:i/>
          <w:iCs/>
          <w:color w:val="3F3F3F" w:themeColor="text2"/>
        </w:rPr>
      </w:pPr>
      <w:r>
        <w:br w:type="page"/>
      </w:r>
    </w:p>
    <w:p w:rsidR="00014404" w:rsidP="00014404" w:rsidRDefault="00014404" w14:paraId="43F92F5E" w14:textId="475F5DA1">
      <w:pPr>
        <w:pStyle w:val="Heading4"/>
      </w:pPr>
      <w:r>
        <w:t>Service design around user needs</w:t>
      </w:r>
    </w:p>
    <w:p w:rsidRPr="00323A3E" w:rsidR="007B6034" w:rsidP="007B6034" w:rsidRDefault="00366AE7" w14:paraId="430F07FC" w14:textId="488C844E">
      <w:pPr>
        <w:pStyle w:val="Para0"/>
      </w:pPr>
      <w:r w:rsidRPr="00832509">
        <w:rPr>
          <w:b/>
          <w:bCs/>
        </w:rPr>
        <w:t xml:space="preserve">To </w:t>
      </w:r>
      <w:r w:rsidRPr="00832509" w:rsidR="002D0AB6">
        <w:rPr>
          <w:b/>
          <w:bCs/>
        </w:rPr>
        <w:t>develop public services through</w:t>
      </w:r>
      <w:r w:rsidRPr="00832509" w:rsidR="00E86B8B">
        <w:rPr>
          <w:b/>
          <w:bCs/>
        </w:rPr>
        <w:t xml:space="preserve"> Life Events that put users at the centre, several countries have </w:t>
      </w:r>
      <w:r w:rsidRPr="00CA4DA8" w:rsidR="00E86B8B">
        <w:rPr>
          <w:b/>
          <w:bCs/>
        </w:rPr>
        <w:t>enhanced their capabilities in relation to service design</w:t>
      </w:r>
      <w:r w:rsidRPr="00832509" w:rsidR="00E86B8B">
        <w:rPr>
          <w:b/>
          <w:bCs/>
        </w:rPr>
        <w:t>.</w:t>
      </w:r>
      <w:r w:rsidR="00965244">
        <w:t xml:space="preserve"> </w:t>
      </w:r>
      <w:r w:rsidR="0034328C">
        <w:t xml:space="preserve">By placing </w:t>
      </w:r>
      <w:r w:rsidR="009D144A">
        <w:t xml:space="preserve">the </w:t>
      </w:r>
      <w:r w:rsidR="0034328C">
        <w:t>user at the centre by default, a</w:t>
      </w:r>
      <w:r w:rsidR="00CE43D0">
        <w:t xml:space="preserve"> design approach </w:t>
      </w:r>
      <w:r w:rsidR="00267F63">
        <w:t>to</w:t>
      </w:r>
      <w:r w:rsidR="00CE43D0">
        <w:t xml:space="preserve"> public services </w:t>
      </w:r>
      <w:r w:rsidR="000313F2">
        <w:t xml:space="preserve">facilitates a more comprehensive understanding of users’ experience, challenges and </w:t>
      </w:r>
      <w:r w:rsidR="0034328C">
        <w:t>satisfaction</w:t>
      </w:r>
      <w:r w:rsidR="00077BF5">
        <w:t>, and ensure</w:t>
      </w:r>
      <w:r w:rsidR="00CA4DA8">
        <w:t>s</w:t>
      </w:r>
      <w:r w:rsidR="00077BF5">
        <w:t xml:space="preserve"> that services are designed around the needs and expectations of users</w:t>
      </w:r>
      <w:r w:rsidR="0034328C">
        <w:t>.</w:t>
      </w:r>
      <w:r w:rsidR="002B34E5">
        <w:t xml:space="preserve"> </w:t>
      </w:r>
      <w:r w:rsidR="007B6034">
        <w:t>This has helped put citizens at the centre from the onset. Ireland and Estonia have developed such capabilities as a core principle across all services’ design in Ireland (</w:t>
      </w:r>
      <w:r w:rsidR="007B6034">
        <w:fldChar w:fldCharType="begin"/>
      </w:r>
      <w:r w:rsidR="007B6034">
        <w:instrText xml:space="preserve"> REF _Ref215089306 \h </w:instrText>
      </w:r>
      <w:r w:rsidR="007B6034">
        <w:fldChar w:fldCharType="separate"/>
      </w:r>
      <w:r w:rsidRPr="00B44A50" w:rsidR="00543B3D">
        <w:t>Box</w:t>
      </w:r>
      <w:r w:rsidR="00543B3D">
        <w:t> </w:t>
      </w:r>
      <w:r w:rsidR="00543B3D">
        <w:rPr>
          <w:noProof/>
        </w:rPr>
        <w:t>2</w:t>
      </w:r>
      <w:r w:rsidR="00543B3D">
        <w:t>.</w:t>
      </w:r>
      <w:r w:rsidR="00543B3D">
        <w:rPr>
          <w:noProof/>
        </w:rPr>
        <w:t>4</w:t>
      </w:r>
      <w:r w:rsidR="007B6034">
        <w:fldChar w:fldCharType="end"/>
      </w:r>
      <w:r w:rsidR="007B6034">
        <w:t>) and particularly for digital services in Estonia (</w:t>
      </w:r>
      <w:r w:rsidR="007B6034">
        <w:fldChar w:fldCharType="begin"/>
      </w:r>
      <w:r w:rsidR="007B6034">
        <w:instrText xml:space="preserve"> REF _Ref215089320 \h </w:instrText>
      </w:r>
      <w:r w:rsidR="007B6034">
        <w:fldChar w:fldCharType="separate"/>
      </w:r>
      <w:r w:rsidRPr="00B44A50" w:rsidR="00543B3D">
        <w:t>Box</w:t>
      </w:r>
      <w:r w:rsidR="00543B3D">
        <w:t> </w:t>
      </w:r>
      <w:r w:rsidR="00543B3D">
        <w:rPr>
          <w:noProof/>
        </w:rPr>
        <w:t>2</w:t>
      </w:r>
      <w:r w:rsidR="00543B3D">
        <w:t>.</w:t>
      </w:r>
      <w:r w:rsidR="00543B3D">
        <w:rPr>
          <w:noProof/>
        </w:rPr>
        <w:t>3</w:t>
      </w:r>
      <w:r w:rsidR="007B6034">
        <w:fldChar w:fldCharType="end"/>
      </w:r>
      <w:r w:rsidR="007B6034">
        <w:t xml:space="preserve">). </w:t>
      </w:r>
    </w:p>
    <w:tbl>
      <w:tblPr>
        <w:tblStyle w:val="TableGrid"/>
        <w:tblpPr w:leftFromText="180" w:rightFromText="180" w:vertAnchor="text" w:horzAnchor="margin" w:tblpY="232"/>
        <w:tblW w:w="9309" w:type="dxa"/>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7B6034" w14:paraId="51B297F4" w14:textId="77777777">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7B6034" w:rsidRDefault="007B6034" w14:paraId="32B23726" w14:textId="4DEB7BF1">
            <w:pPr>
              <w:pStyle w:val="Caption"/>
              <w:spacing w:line="240" w:lineRule="auto"/>
            </w:pPr>
            <w:bookmarkStart w:name="_Ref215089320" w:id="27"/>
            <w:bookmarkStart w:name="_Toc223413794" w:id="28"/>
            <w:r>
              <w:rPr>
                <w:noProof/>
              </w:rPr>
              <w:drawing>
                <wp:anchor distT="0" distB="0" distL="114300" distR="114300" simplePos="0" relativeHeight="251658247" behindDoc="1" locked="0" layoutInCell="1" allowOverlap="1" wp14:anchorId="43899C34" wp14:editId="15E7083F">
                  <wp:simplePos x="0" y="0"/>
                  <wp:positionH relativeFrom="column">
                    <wp:posOffset>4682430</wp:posOffset>
                  </wp:positionH>
                  <wp:positionV relativeFrom="paragraph">
                    <wp:posOffset>49482</wp:posOffset>
                  </wp:positionV>
                  <wp:extent cx="1009015" cy="641350"/>
                  <wp:effectExtent l="0" t="0" r="635" b="6350"/>
                  <wp:wrapTight wrapText="bothSides">
                    <wp:wrapPolygon edited="0">
                      <wp:start x="0" y="0"/>
                      <wp:lineTo x="0" y="21172"/>
                      <wp:lineTo x="21206" y="21172"/>
                      <wp:lineTo x="21206" y="0"/>
                      <wp:lineTo x="0" y="0"/>
                    </wp:wrapPolygon>
                  </wp:wrapTight>
                  <wp:docPr id="520112193" name="Picture 1" descr="A blue and black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12193" name="Picture 1" descr="A blue and black flag&#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09015" cy="641350"/>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3</w:t>
            </w:r>
            <w:r>
              <w:rPr>
                <w:noProof/>
              </w:rPr>
              <w:fldChar w:fldCharType="end"/>
            </w:r>
            <w:bookmarkEnd w:id="27"/>
            <w:r>
              <w:t xml:space="preserve">. </w:t>
            </w:r>
            <w:r w:rsidR="00A40062">
              <w:t xml:space="preserve">Estonia - </w:t>
            </w:r>
            <w:r>
              <w:t>Development of Service Design capabilities for digital public services</w:t>
            </w:r>
            <w:bookmarkEnd w:id="28"/>
            <w:r>
              <w:t xml:space="preserve"> </w:t>
            </w:r>
          </w:p>
          <w:p w:rsidR="007B6034" w:rsidRDefault="007B6034" w14:paraId="79FA7628" w14:textId="77777777">
            <w:pPr>
              <w:pStyle w:val="Para0"/>
            </w:pPr>
            <w:r>
              <w:t xml:space="preserve">While Estonia has been a recognised leader in digital public services, the strong ambition to move towards a more citizen - and business-oriented service delivery drove the country to invest in service design capabilities. </w:t>
            </w:r>
          </w:p>
          <w:p w:rsidRPr="00E8440B" w:rsidR="007B6034" w:rsidRDefault="007B6034" w14:paraId="1893D611" w14:textId="0F7D5626">
            <w:pPr>
              <w:pStyle w:val="Para0"/>
            </w:pPr>
            <w:r>
              <w:t xml:space="preserve">The </w:t>
            </w:r>
            <w:hyperlink w:history="1" r:id="rId26">
              <w:r w:rsidRPr="00572AFC">
                <w:rPr>
                  <w:rStyle w:val="Hyperlink"/>
                </w:rPr>
                <w:t>publicly available toolbox</w:t>
              </w:r>
            </w:hyperlink>
            <w:r>
              <w:t>, developed by the Ministry of Economic Affairs and Communications, introduces every Estonian interested in service delivery “</w:t>
            </w:r>
            <w:r w:rsidRPr="00DB22B4">
              <w:t>to the process of design thinking and a collection of tools, guidelines and methods that support this process</w:t>
            </w:r>
            <w:r>
              <w:t>”</w:t>
            </w:r>
            <w:r w:rsidRPr="00DB22B4">
              <w:t>.</w:t>
            </w:r>
            <w:r>
              <w:t xml:space="preserve"> The portal emphasises that everyone can be able to design and therefore aims to practically support civil servants in this avenue. The provided information is grouped in seven stages of the process, starting from the preparation to develop a service to testing solutions and sharing the obtained results with others. </w:t>
            </w:r>
            <w:r w:rsidRPr="00597712">
              <w:t>The information is structured to seamlessly transition civil servants from one stage to the next.</w:t>
            </w:r>
            <w:r>
              <w:t xml:space="preserve"> Each stage is complemented </w:t>
            </w:r>
            <w:r w:rsidR="008060E8">
              <w:t xml:space="preserve">with </w:t>
            </w:r>
            <w:r>
              <w:t>different tools, for example, stakeholder mapping, user interviews, and A/B testing, that civil servants can leverage and apply in their processes. The website also assembles all documentation, such as strategies and standards, in relation to service delivery in Estonia.</w:t>
            </w:r>
          </w:p>
          <w:p w:rsidRPr="00775FF9" w:rsidR="007B6034" w:rsidRDefault="007B6034" w14:paraId="7A8815A0" w14:textId="3D3BCAF8">
            <w:pPr>
              <w:pStyle w:val="Sourcenotes"/>
            </w:pPr>
            <w:r>
              <w:t xml:space="preserve">Source: Information obtained in country mission in September 2025; </w:t>
            </w:r>
            <w:sdt>
              <w:sdtPr>
                <w:id w:val="-739626947"/>
                <w:citation/>
              </w:sdtPr>
              <w:sdtEndPr/>
              <w:sdtContent>
                <w:r>
                  <w:fldChar w:fldCharType="begin"/>
                </w:r>
                <w:r>
                  <w:instrText xml:space="preserve"> CITATION Mend_WQB43JqcATyviA0X2cl2QA \l 2057 </w:instrText>
                </w:r>
                <w:r>
                  <w:fldChar w:fldCharType="separate"/>
                </w:r>
                <w:r w:rsidRPr="00F86F21" w:rsidR="00F86F21">
                  <w:rPr>
                    <w:noProof/>
                  </w:rPr>
                  <w:t>(</w:t>
                </w:r>
                <w:bookmarkStart w:name="Mend_WQB43JqcATyviA0X2cl2QA_5" w:id="29"/>
                <w:r w:rsidRPr="00F86F21" w:rsidR="00F86F21">
                  <w:rPr>
                    <w:noProof/>
                  </w:rPr>
                  <w:t>Ministry of Economic Affairs and Communications, n.d.</w:t>
                </w:r>
                <w:r w:rsidRPr="00F86F21" w:rsidR="00F86F21">
                  <w:rPr>
                    <w:noProof/>
                    <w:vertAlign w:val="subscript"/>
                  </w:rPr>
                  <w:t>[5]</w:t>
                </w:r>
                <w:r w:rsidRPr="00F86F21" w:rsidR="00F86F21">
                  <w:rPr>
                    <w:noProof/>
                  </w:rPr>
                  <w:t>)</w:t>
                </w:r>
                <w:bookmarkEnd w:id="29"/>
                <w:r>
                  <w:fldChar w:fldCharType="end"/>
                </w:r>
              </w:sdtContent>
            </w:sdt>
            <w:r>
              <w:t>.</w:t>
            </w:r>
          </w:p>
        </w:tc>
      </w:tr>
    </w:tbl>
    <w:p w:rsidR="00323A3E" w:rsidP="00014404" w:rsidRDefault="00014404" w14:paraId="6BC06578" w14:textId="12425A1B">
      <w:pPr>
        <w:pStyle w:val="Heading4"/>
      </w:pPr>
      <w:r>
        <w:t>Service standards</w:t>
      </w:r>
    </w:p>
    <w:p w:rsidR="0059674A" w:rsidRDefault="0020673B" w14:paraId="20BA34D0" w14:textId="0AE6B2FC">
      <w:pPr>
        <w:pStyle w:val="Para0"/>
      </w:pPr>
      <w:r w:rsidRPr="00832509">
        <w:rPr>
          <w:b/>
          <w:bCs/>
        </w:rPr>
        <w:t>A key enabler for supporting service design is the development of</w:t>
      </w:r>
      <w:r>
        <w:t xml:space="preserve"> </w:t>
      </w:r>
      <w:r>
        <w:rPr>
          <w:b/>
          <w:bCs/>
        </w:rPr>
        <w:t xml:space="preserve">service standards. </w:t>
      </w:r>
      <w:r>
        <w:t xml:space="preserve">These standards enable public sector organisations to adopt a consistent approach to service design across sectors and institutions, providing users with a seamless experience, whether they access services online or offline, and irrespective of their point of entry. Moreover, service standards also help to respond to, and sometimes shape, expectations from citizens by setting out what citizens can expect from the administration and ensuring that administrations commit to </w:t>
      </w:r>
      <w:r w:rsidR="00137F89">
        <w:t xml:space="preserve">a given </w:t>
      </w:r>
      <w:r>
        <w:t>level of service. OECD countries are increasingly adopting service standards for the whole government to establish a common approach to design and delivering government services. Of the 10 EU countries participating in the TSI Project six (Estonia, Finland, Ireland, Latvia, Lithuania, Slovenia) have report</w:t>
      </w:r>
      <w:r w:rsidR="00137F89">
        <w:t>ed</w:t>
      </w:r>
      <w:r>
        <w:t xml:space="preserve"> adopting whole of government service standards. </w:t>
      </w:r>
      <w:r w:rsidR="00247B60">
        <w:t xml:space="preserve">In 2023, 28 out of 33 participating OECD countries in the Digital Government Index reported having such a standard to guide service teams when designing and delivering public services </w:t>
      </w:r>
      <w:sdt>
        <w:sdtPr>
          <w:id w:val="1028920880"/>
          <w:citation/>
        </w:sdtPr>
        <w:sdtEndPr/>
        <w:sdtContent>
          <w:r w:rsidR="00247B60">
            <w:fldChar w:fldCharType="begin"/>
          </w:r>
          <w:r w:rsidR="00247B60">
            <w:instrText xml:space="preserve"> CITATION OEC24 \l 2057 </w:instrText>
          </w:r>
          <w:r w:rsidR="00247B60">
            <w:fldChar w:fldCharType="separate"/>
          </w:r>
          <w:r w:rsidRPr="00F86F21" w:rsidR="00F86F21">
            <w:rPr>
              <w:noProof/>
            </w:rPr>
            <w:t>(OECD, 2024</w:t>
          </w:r>
          <w:r w:rsidRPr="00F86F21" w:rsidR="00F86F21">
            <w:rPr>
              <w:noProof/>
              <w:vertAlign w:val="subscript"/>
            </w:rPr>
            <w:t>[4]</w:t>
          </w:r>
          <w:r w:rsidRPr="00F86F21" w:rsidR="00F86F21">
            <w:rPr>
              <w:noProof/>
            </w:rPr>
            <w:t>)</w:t>
          </w:r>
          <w:r w:rsidR="00247B60">
            <w:fldChar w:fldCharType="end"/>
          </w:r>
        </w:sdtContent>
      </w:sdt>
      <w:r w:rsidR="00247B60">
        <w:t xml:space="preserve">. </w:t>
      </w:r>
      <w:r w:rsidR="00F37E5B">
        <w:t xml:space="preserve">For instance, </w:t>
      </w:r>
      <w:r w:rsidR="0059674A">
        <w:t>Ireland has developed service principles to support in the development of their Action Plan for Designing Better Public Services (</w:t>
      </w:r>
      <w:r w:rsidR="0059674A">
        <w:fldChar w:fldCharType="begin"/>
      </w:r>
      <w:r w:rsidR="0059674A">
        <w:instrText xml:space="preserve"> REF _Ref215089306 \h </w:instrText>
      </w:r>
      <w:r w:rsidR="0059674A">
        <w:fldChar w:fldCharType="separate"/>
      </w:r>
      <w:r w:rsidRPr="00B44A50" w:rsidR="00543B3D">
        <w:t>Box</w:t>
      </w:r>
      <w:r w:rsidR="00543B3D">
        <w:t> </w:t>
      </w:r>
      <w:r w:rsidR="00543B3D">
        <w:rPr>
          <w:noProof/>
        </w:rPr>
        <w:t>2</w:t>
      </w:r>
      <w:r w:rsidR="00543B3D">
        <w:t>.</w:t>
      </w:r>
      <w:r w:rsidR="00543B3D">
        <w:rPr>
          <w:noProof/>
        </w:rPr>
        <w:t>4</w:t>
      </w:r>
      <w:r w:rsidR="0059674A">
        <w:fldChar w:fldCharType="end"/>
      </w:r>
      <w:r w:rsidR="0059674A">
        <w:t xml:space="preserve">).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51095B" w14:paraId="570EF413"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51095B" w:rsidRDefault="0051095B" w14:paraId="16641625" w14:textId="7B574CE3">
            <w:pPr>
              <w:pStyle w:val="Caption"/>
            </w:pPr>
            <w:bookmarkStart w:name="_Ref215089306" w:id="30"/>
            <w:bookmarkStart w:name="_Toc223413795" w:id="31"/>
            <w:r>
              <w:rPr>
                <w:noProof/>
              </w:rPr>
              <w:drawing>
                <wp:anchor distT="0" distB="0" distL="114300" distR="114300" simplePos="0" relativeHeight="251658294" behindDoc="0" locked="0" layoutInCell="1" allowOverlap="1" wp14:anchorId="73B66679" wp14:editId="37862D8A">
                  <wp:simplePos x="0" y="0"/>
                  <wp:positionH relativeFrom="column">
                    <wp:posOffset>4833069</wp:posOffset>
                  </wp:positionH>
                  <wp:positionV relativeFrom="paragraph">
                    <wp:posOffset>49482</wp:posOffset>
                  </wp:positionV>
                  <wp:extent cx="930303" cy="465152"/>
                  <wp:effectExtent l="0" t="0" r="3175" b="0"/>
                  <wp:wrapNone/>
                  <wp:docPr id="1066287553" name="Picture 1" descr="A flag of ireland with a white green and orange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87553" name="Picture 1" descr="A flag of ireland with a white green and orange stripe&#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30303" cy="4651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4</w:t>
            </w:r>
            <w:r>
              <w:rPr>
                <w:noProof/>
              </w:rPr>
              <w:fldChar w:fldCharType="end"/>
            </w:r>
            <w:bookmarkEnd w:id="30"/>
            <w:r>
              <w:t xml:space="preserve">. </w:t>
            </w:r>
            <w:r w:rsidR="00A40062">
              <w:t xml:space="preserve">Ireland - </w:t>
            </w:r>
            <w:r>
              <w:t>Development of Service Design</w:t>
            </w:r>
            <w:bookmarkEnd w:id="31"/>
            <w:r>
              <w:t xml:space="preserve"> </w:t>
            </w:r>
          </w:p>
          <w:p w:rsidR="0051095B" w:rsidRDefault="0051095B" w14:paraId="18B2550C" w14:textId="77777777">
            <w:pPr>
              <w:pStyle w:val="Para0"/>
            </w:pPr>
            <w:r w:rsidRPr="00832509">
              <w:rPr>
                <w:b/>
                <w:bCs/>
              </w:rPr>
              <w:t>Ireland</w:t>
            </w:r>
            <w:r>
              <w:t xml:space="preserve">’s road towards the service design approach in government started with the </w:t>
            </w:r>
            <w:r w:rsidRPr="00832509">
              <w:rPr>
                <w:i/>
                <w:iCs/>
              </w:rPr>
              <w:t>10 foundational principles</w:t>
            </w:r>
            <w:r>
              <w:t>, adopted in 2022. The principles prescribed the simple ways how a design approach can be introduced and embedded into government operations and culture. Particularly principles 1, 2 and 4 highlight the importance of putting needs of all users at the centre.</w:t>
            </w:r>
          </w:p>
          <w:p w:rsidR="0051095B" w:rsidRDefault="0051095B" w14:paraId="0C756B67" w14:textId="77777777">
            <w:pPr>
              <w:pStyle w:val="Para0"/>
            </w:pPr>
            <w:r>
              <w:t xml:space="preserve">Building on these principles, </w:t>
            </w:r>
            <w:r w:rsidRPr="00893FFA">
              <w:t xml:space="preserve">the Department of Public Expenditure, Infrastructure, Public Service Reform and Digitalisation developed the </w:t>
            </w:r>
            <w:r w:rsidRPr="00AD6B5A">
              <w:rPr>
                <w:i/>
              </w:rPr>
              <w:t>Action Plan for Designing Better Public Services</w:t>
            </w:r>
            <w:r>
              <w:t xml:space="preserve"> that aims to support their practical implementation. The two-years Action Plan is built around three themes - demonstrating design commitment, increasing design capability, and fostering a design culture – with each including practical steps in support. Its overall objective is to integrate the design approach across the public sector. </w:t>
            </w:r>
          </w:p>
          <w:p w:rsidR="0051095B" w:rsidRDefault="0051095B" w14:paraId="0FA6112F" w14:textId="77777777">
            <w:pPr>
              <w:pStyle w:val="Para0"/>
            </w:pPr>
            <w:r>
              <w:t xml:space="preserve">In addition to the clear service design principles and strategy, Ireland enhances design capabilities through a dedicated unit. </w:t>
            </w:r>
            <w:r w:rsidRPr="007C076C">
              <w:t>The Design Unit in the Department of Public Expenditure is responsible for implementing the plan while also assisting public servants who want to use design thinking in their respective organi</w:t>
            </w:r>
            <w:r>
              <w:t>s</w:t>
            </w:r>
            <w:r w:rsidRPr="007C076C">
              <w:t>ations.</w:t>
            </w:r>
            <w:r>
              <w:t xml:space="preserve"> </w:t>
            </w:r>
          </w:p>
          <w:p w:rsidRPr="0059674A" w:rsidR="0051095B" w:rsidP="0059674A" w:rsidRDefault="0051095B" w14:paraId="70EDE57A" w14:textId="444DE5F2">
            <w:pPr>
              <w:pStyle w:val="Para0"/>
              <w:rPr>
                <w:b/>
                <w:bCs/>
              </w:rPr>
            </w:pPr>
            <w:r w:rsidRPr="0059674A">
              <w:rPr>
                <w:b/>
                <w:bCs/>
              </w:rPr>
              <w:t>10 Design Principles for Government in Ireland</w:t>
            </w:r>
          </w:p>
          <w:p w:rsidR="0051095B" w:rsidRDefault="0051095B" w14:paraId="71897C5E" w14:textId="77777777">
            <w:pPr>
              <w:pStyle w:val="Figure"/>
              <w:rPr>
                <w:i/>
              </w:rPr>
            </w:pPr>
            <w:r w:rsidRPr="00613350">
              <w:rPr>
                <w:i/>
                <w:noProof/>
              </w:rPr>
              <w:drawing>
                <wp:inline distT="0" distB="0" distL="0" distR="0" wp14:anchorId="318DCB18" wp14:editId="7DEC42E4">
                  <wp:extent cx="3346882" cy="4323055"/>
                  <wp:effectExtent l="0" t="0" r="6350" b="1905"/>
                  <wp:docPr id="2129762725" name="Picture 1" descr="A screen 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62725" name="Picture 1" descr="A screen shot of a diagram&#10;&#10;AI-generated content may be incorrect."/>
                          <pic:cNvPicPr/>
                        </pic:nvPicPr>
                        <pic:blipFill>
                          <a:blip r:embed="rId27"/>
                          <a:stretch>
                            <a:fillRect/>
                          </a:stretch>
                        </pic:blipFill>
                        <pic:spPr>
                          <a:xfrm>
                            <a:off x="0" y="0"/>
                            <a:ext cx="3346882" cy="4323055"/>
                          </a:xfrm>
                          <a:prstGeom prst="rect">
                            <a:avLst/>
                          </a:prstGeom>
                        </pic:spPr>
                      </pic:pic>
                    </a:graphicData>
                  </a:graphic>
                </wp:inline>
              </w:drawing>
            </w:r>
          </w:p>
          <w:p w:rsidRPr="00454399" w:rsidR="0051095B" w:rsidRDefault="0051095B" w14:paraId="51DC7CAF" w14:textId="77777777">
            <w:pPr>
              <w:pStyle w:val="Sourcenotes"/>
            </w:pPr>
          </w:p>
          <w:p w:rsidRPr="00775FF9" w:rsidR="0051095B" w:rsidRDefault="0051095B" w14:paraId="12A82137" w14:textId="37080F8D">
            <w:pPr>
              <w:pStyle w:val="Sourcenotes"/>
            </w:pPr>
            <w:r>
              <w:t xml:space="preserve">Source: Information obtained in country mission in </w:t>
            </w:r>
            <w:r w:rsidRPr="00942A92">
              <w:t>March</w:t>
            </w:r>
            <w:r>
              <w:t xml:space="preserve"> 2025 as part of this TSI; </w:t>
            </w:r>
            <w:sdt>
              <w:sdtPr>
                <w:id w:val="1541625728"/>
                <w:citation/>
              </w:sdtPr>
              <w:sdtEndPr/>
              <w:sdtContent>
                <w:r w:rsidR="00AD0222">
                  <w:fldChar w:fldCharType="begin"/>
                </w:r>
                <w:r w:rsidR="00AD0222">
                  <w:instrText xml:space="preserve"> CITATION Mend_6uZDDUC5wjOMrBVWa9g19Q \l 2057 </w:instrText>
                </w:r>
                <w:r w:rsidR="00AD0222">
                  <w:fldChar w:fldCharType="separate"/>
                </w:r>
                <w:r w:rsidRPr="00F86F21" w:rsidR="00F86F21">
                  <w:rPr>
                    <w:noProof/>
                  </w:rPr>
                  <w:t>(</w:t>
                </w:r>
                <w:bookmarkStart w:name="Mend_6uZDDUC5wjOMrBVWa9g19Q_6" w:id="32"/>
                <w:r w:rsidRPr="00F86F21" w:rsidR="00F86F21">
                  <w:rPr>
                    <w:noProof/>
                  </w:rPr>
                  <w:t>Government of Ireland, 2022</w:t>
                </w:r>
                <w:r w:rsidRPr="00F86F21" w:rsidR="00F86F21">
                  <w:rPr>
                    <w:noProof/>
                    <w:vertAlign w:val="subscript"/>
                  </w:rPr>
                  <w:t>[6]</w:t>
                </w:r>
                <w:r w:rsidRPr="00F86F21" w:rsidR="00F86F21">
                  <w:rPr>
                    <w:noProof/>
                  </w:rPr>
                  <w:t>)</w:t>
                </w:r>
                <w:bookmarkEnd w:id="32"/>
                <w:r w:rsidR="00AD0222">
                  <w:fldChar w:fldCharType="end"/>
                </w:r>
              </w:sdtContent>
            </w:sdt>
            <w:r w:rsidR="00AD0222">
              <w:t xml:space="preserve">; </w:t>
            </w:r>
            <w:sdt>
              <w:sdtPr>
                <w:id w:val="-218056133"/>
                <w:citation/>
              </w:sdtPr>
              <w:sdtEndPr/>
              <w:sdtContent>
                <w:r>
                  <w:fldChar w:fldCharType="begin"/>
                </w:r>
                <w:r>
                  <w:instrText xml:space="preserve"> CITATION Mend_zMvzr5KjVD6mPwyMQt2NlQ \l 2057 </w:instrText>
                </w:r>
                <w:r>
                  <w:fldChar w:fldCharType="separate"/>
                </w:r>
                <w:r w:rsidRPr="00F86F21" w:rsidR="00F86F21">
                  <w:rPr>
                    <w:noProof/>
                  </w:rPr>
                  <w:t>(</w:t>
                </w:r>
                <w:bookmarkStart w:name="Mend_zMvzr5KjVD6mPwyMQt2NlQ_7" w:id="33"/>
                <w:r w:rsidRPr="00F86F21" w:rsidR="00F86F21">
                  <w:rPr>
                    <w:noProof/>
                  </w:rPr>
                  <w:t>Government of Ireland, 2023</w:t>
                </w:r>
                <w:r w:rsidRPr="00F86F21" w:rsidR="00F86F21">
                  <w:rPr>
                    <w:noProof/>
                    <w:vertAlign w:val="subscript"/>
                  </w:rPr>
                  <w:t>[7]</w:t>
                </w:r>
                <w:r w:rsidRPr="00F86F21" w:rsidR="00F86F21">
                  <w:rPr>
                    <w:noProof/>
                  </w:rPr>
                  <w:t>)</w:t>
                </w:r>
                <w:bookmarkEnd w:id="33"/>
                <w:r>
                  <w:fldChar w:fldCharType="end"/>
                </w:r>
              </w:sdtContent>
            </w:sdt>
            <w:r>
              <w:t xml:space="preserve">; </w:t>
            </w:r>
            <w:sdt>
              <w:sdtPr>
                <w:id w:val="26913959"/>
                <w:citation/>
              </w:sdtPr>
              <w:sdtEndPr/>
              <w:sdtContent>
                <w:r>
                  <w:fldChar w:fldCharType="begin"/>
                </w:r>
                <w:r>
                  <w:instrText xml:space="preserve"> CITATION Mend_H5vIvzaGGDSQxMWtNUQqUg \l 2057 </w:instrText>
                </w:r>
                <w:r>
                  <w:fldChar w:fldCharType="separate"/>
                </w:r>
                <w:r w:rsidRPr="00F86F21" w:rsidR="00F86F21">
                  <w:rPr>
                    <w:noProof/>
                  </w:rPr>
                  <w:t>(</w:t>
                </w:r>
                <w:bookmarkStart w:name="Mend_H5vIvzaGGDSQxMWtNUQqUg_8" w:id="34"/>
                <w:r w:rsidRPr="00F86F21" w:rsidR="00F86F21">
                  <w:rPr>
                    <w:noProof/>
                  </w:rPr>
                  <w:t>Department of Public Expenditure, 2025</w:t>
                </w:r>
                <w:r w:rsidRPr="00F86F21" w:rsidR="00F86F21">
                  <w:rPr>
                    <w:noProof/>
                    <w:vertAlign w:val="subscript"/>
                  </w:rPr>
                  <w:t>[8]</w:t>
                </w:r>
                <w:r w:rsidRPr="00F86F21" w:rsidR="00F86F21">
                  <w:rPr>
                    <w:noProof/>
                  </w:rPr>
                  <w:t>)</w:t>
                </w:r>
                <w:bookmarkEnd w:id="34"/>
                <w:r>
                  <w:fldChar w:fldCharType="end"/>
                </w:r>
              </w:sdtContent>
            </w:sdt>
            <w:r>
              <w:t>.</w:t>
            </w:r>
          </w:p>
        </w:tc>
      </w:tr>
    </w:tbl>
    <w:p w:rsidR="0051095B" w:rsidRDefault="0059674A" w14:paraId="37C78773" w14:textId="7305919C">
      <w:pPr>
        <w:pStyle w:val="Para0"/>
      </w:pPr>
      <w:r>
        <w:t>In Slovenia, unified standards have been developed for digital public services through a Pilot initiative (</w:t>
      </w:r>
      <w:r>
        <w:fldChar w:fldCharType="begin"/>
      </w:r>
      <w:r>
        <w:instrText xml:space="preserve"> REF _Ref215517598 \h </w:instrText>
      </w:r>
      <w:r>
        <w:fldChar w:fldCharType="separate"/>
      </w:r>
      <w:r w:rsidRPr="00B44A50" w:rsidR="00543B3D">
        <w:t>Box</w:t>
      </w:r>
      <w:r w:rsidR="00543B3D">
        <w:t> </w:t>
      </w:r>
      <w:r w:rsidR="00543B3D">
        <w:rPr>
          <w:noProof/>
        </w:rPr>
        <w:t>2</w:t>
      </w:r>
      <w:r w:rsidR="00543B3D">
        <w:t>.</w:t>
      </w:r>
      <w:r w:rsidR="00543B3D">
        <w:rPr>
          <w:noProof/>
        </w:rPr>
        <w:t>5</w:t>
      </w:r>
      <w:r>
        <w:fldChar w:fldCharType="end"/>
      </w:r>
      <w:r>
        <w:t>)</w:t>
      </w:r>
      <w:r w:rsidR="003F70D7">
        <w:t>.</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5F0372" w14:paraId="097EFDEF"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5F0372" w:rsidRDefault="00967BCE" w14:paraId="4E094E52" w14:textId="4A7ABC5B">
            <w:pPr>
              <w:pStyle w:val="Caption"/>
            </w:pPr>
            <w:bookmarkStart w:name="_Ref215517598" w:id="35"/>
            <w:bookmarkStart w:name="_Toc223413796" w:id="36"/>
            <w:r w:rsidRPr="00E30FFF">
              <w:rPr>
                <w:noProof/>
              </w:rPr>
              <w:drawing>
                <wp:anchor distT="0" distB="0" distL="114300" distR="114300" simplePos="0" relativeHeight="251658243" behindDoc="1" locked="0" layoutInCell="1" allowOverlap="1" wp14:anchorId="55BA0D75" wp14:editId="444EBDE3">
                  <wp:simplePos x="0" y="0"/>
                  <wp:positionH relativeFrom="column">
                    <wp:posOffset>4614497</wp:posOffset>
                  </wp:positionH>
                  <wp:positionV relativeFrom="paragraph">
                    <wp:posOffset>69994</wp:posOffset>
                  </wp:positionV>
                  <wp:extent cx="1083538" cy="541769"/>
                  <wp:effectExtent l="0" t="0" r="2540" b="0"/>
                  <wp:wrapTight wrapText="bothSides">
                    <wp:wrapPolygon edited="0">
                      <wp:start x="0" y="0"/>
                      <wp:lineTo x="0" y="20511"/>
                      <wp:lineTo x="21271" y="20511"/>
                      <wp:lineTo x="21271" y="0"/>
                      <wp:lineTo x="0" y="0"/>
                    </wp:wrapPolygon>
                  </wp:wrapTight>
                  <wp:docPr id="386173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173809"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83538" cy="541769"/>
                          </a:xfrm>
                          <a:prstGeom prst="rect">
                            <a:avLst/>
                          </a:prstGeom>
                        </pic:spPr>
                      </pic:pic>
                    </a:graphicData>
                  </a:graphic>
                  <wp14:sizeRelH relativeFrom="margin">
                    <wp14:pctWidth>0</wp14:pctWidth>
                  </wp14:sizeRelH>
                  <wp14:sizeRelV relativeFrom="margin">
                    <wp14:pctHeight>0</wp14:pctHeight>
                  </wp14:sizeRelV>
                </wp:anchor>
              </w:drawing>
            </w:r>
            <w:r w:rsidRPr="00B44A50" w:rsidR="005F0372">
              <w:t>Box</w:t>
            </w:r>
            <w:r w:rsidR="005F0372">
              <w:t> </w:t>
            </w:r>
            <w:r w:rsidR="005F0372">
              <w:rPr>
                <w:noProof/>
              </w:rPr>
              <w:fldChar w:fldCharType="begin"/>
            </w:r>
            <w:r w:rsidR="005F0372">
              <w:rPr>
                <w:noProof/>
              </w:rPr>
              <w:instrText xml:space="preserve"> STYLEREF 1 \s </w:instrText>
            </w:r>
            <w:r w:rsidR="005F0372">
              <w:rPr>
                <w:noProof/>
              </w:rPr>
              <w:fldChar w:fldCharType="separate"/>
            </w:r>
            <w:r w:rsidR="00543B3D">
              <w:rPr>
                <w:noProof/>
              </w:rPr>
              <w:t>2</w:t>
            </w:r>
            <w:r w:rsidR="005F0372">
              <w:rPr>
                <w:noProof/>
              </w:rPr>
              <w:fldChar w:fldCharType="end"/>
            </w:r>
            <w:r w:rsidR="005F0372">
              <w:t>.</w:t>
            </w:r>
            <w:r w:rsidR="005F0372">
              <w:rPr>
                <w:noProof/>
              </w:rPr>
              <w:fldChar w:fldCharType="begin"/>
            </w:r>
            <w:r w:rsidR="005F0372">
              <w:rPr>
                <w:noProof/>
              </w:rPr>
              <w:instrText xml:space="preserve"> SEQ Box \* ARABIC \s 1 </w:instrText>
            </w:r>
            <w:r w:rsidR="005F0372">
              <w:rPr>
                <w:noProof/>
              </w:rPr>
              <w:fldChar w:fldCharType="separate"/>
            </w:r>
            <w:r w:rsidR="00543B3D">
              <w:rPr>
                <w:noProof/>
              </w:rPr>
              <w:t>5</w:t>
            </w:r>
            <w:r w:rsidR="005F0372">
              <w:rPr>
                <w:noProof/>
              </w:rPr>
              <w:fldChar w:fldCharType="end"/>
            </w:r>
            <w:bookmarkEnd w:id="35"/>
            <w:r w:rsidR="005F0372">
              <w:t xml:space="preserve">. </w:t>
            </w:r>
            <w:r w:rsidR="00A40062">
              <w:t xml:space="preserve">Slovenia - </w:t>
            </w:r>
            <w:r w:rsidR="00CE7204">
              <w:t>Development of unified standards for digital public services</w:t>
            </w:r>
            <w:bookmarkEnd w:id="36"/>
            <w:r w:rsidR="00CE7204">
              <w:t xml:space="preserve"> </w:t>
            </w:r>
          </w:p>
          <w:p w:rsidR="00CD0700" w:rsidP="00CD0700" w:rsidRDefault="00CD0700" w14:paraId="1EAAC8B8" w14:textId="77777777">
            <w:pPr>
              <w:pStyle w:val="Para0"/>
            </w:pPr>
            <w:r>
              <w:t xml:space="preserve">Within the Recovery and Resilience Facility 2022-2026, </w:t>
            </w:r>
            <w:r w:rsidRPr="00832509">
              <w:rPr>
                <w:b/>
                <w:bCs/>
              </w:rPr>
              <w:t>Slovenia</w:t>
            </w:r>
            <w:r>
              <w:t xml:space="preserve"> is currently implementing the project "Development of New Dynamic E-Services". One of the key objectives of the project is to harmonise access to digital services through the definition of common standards for digital public services (for web services and mobile applications). These standards set out </w:t>
            </w:r>
            <w:r w:rsidRPr="003A2BCC">
              <w:t>specific requirements and recommendations on how digital public services should be designed, developed, and delivered to users in order to comply with common underlying principles</w:t>
            </w:r>
            <w:r>
              <w:t xml:space="preserve">. The aim is to standardise the way information and services are delivered, common graphical elements and common functionalities, and to promote the use of common building blocks and common functionalities. A pilot implementation of the standards on selected portals is foreseen to test their practical application. </w:t>
            </w:r>
          </w:p>
          <w:p w:rsidRPr="00775FF9" w:rsidR="005F0372" w:rsidRDefault="005F0372" w14:paraId="2E944745" w14:textId="70D1DF7E">
            <w:pPr>
              <w:pStyle w:val="Sourcenotes"/>
            </w:pPr>
            <w:r>
              <w:t xml:space="preserve">Source: </w:t>
            </w:r>
            <w:r w:rsidR="009055FA">
              <w:t>Information obtained in country mission in June 2025</w:t>
            </w:r>
            <w:r w:rsidR="00783B87">
              <w:t xml:space="preserve"> as part of this TSI.</w:t>
            </w:r>
          </w:p>
        </w:tc>
      </w:tr>
    </w:tbl>
    <w:p w:rsidR="004F1B12" w:rsidP="004F1B12" w:rsidRDefault="00216C35" w14:paraId="448B1C6A" w14:textId="0D246D2F">
      <w:pPr>
        <w:pStyle w:val="Heading2"/>
        <w:rPr>
          <w:lang w:val="en-US"/>
        </w:rPr>
      </w:pPr>
      <w:bookmarkStart w:name="_Toc223413729" w:id="37"/>
      <w:r>
        <w:rPr>
          <w:lang w:val="en-US"/>
        </w:rPr>
        <w:t xml:space="preserve">Proactive </w:t>
      </w:r>
      <w:r w:rsidR="0003537C">
        <w:rPr>
          <w:lang w:val="en-US"/>
        </w:rPr>
        <w:t>s</w:t>
      </w:r>
      <w:r>
        <w:rPr>
          <w:lang w:val="en-US"/>
        </w:rPr>
        <w:t xml:space="preserve">ervices: </w:t>
      </w:r>
      <w:r w:rsidR="00BA1BAE">
        <w:rPr>
          <w:lang w:val="en-US"/>
        </w:rPr>
        <w:t>Anticipating user</w:t>
      </w:r>
      <w:r w:rsidR="00B311B9">
        <w:rPr>
          <w:lang w:val="en-US"/>
        </w:rPr>
        <w:t>s’ needs</w:t>
      </w:r>
      <w:bookmarkEnd w:id="37"/>
    </w:p>
    <w:p w:rsidR="00442820" w:rsidP="00442820" w:rsidRDefault="00442820" w14:paraId="374184DF" w14:textId="10AC7F96">
      <w:pPr>
        <w:pStyle w:val="Para0"/>
        <w:rPr>
          <w:lang w:val="en-US"/>
        </w:rPr>
      </w:pPr>
      <w:r w:rsidRPr="00C5537C">
        <w:rPr>
          <w:b/>
          <w:lang w:val="en-US"/>
        </w:rPr>
        <w:t>When accessing public services, there is a need to ensure services are proactive.</w:t>
      </w:r>
      <w:r>
        <w:rPr>
          <w:lang w:val="en-US"/>
        </w:rPr>
        <w:t xml:space="preserve"> Proactive services relate to anticipating the needs of users and service providers. This ensures</w:t>
      </w:r>
      <w:r w:rsidRPr="00D33D3F">
        <w:rPr>
          <w:lang w:val="en-US"/>
        </w:rPr>
        <w:t xml:space="preserve"> that information regarding services is easy to find and that users do not need to spend time navigating multiple steps to access </w:t>
      </w:r>
      <w:r w:rsidR="00584365">
        <w:rPr>
          <w:lang w:val="en-US"/>
        </w:rPr>
        <w:t xml:space="preserve">the </w:t>
      </w:r>
      <w:r w:rsidRPr="00D33D3F">
        <w:rPr>
          <w:lang w:val="en-US"/>
        </w:rPr>
        <w:t>information they require. Moreover, proactive services relate to providing users with information</w:t>
      </w:r>
      <w:r>
        <w:rPr>
          <w:lang w:val="en-US"/>
        </w:rPr>
        <w:t xml:space="preserve"> and support</w:t>
      </w:r>
      <w:r w:rsidRPr="00D33D3F">
        <w:rPr>
          <w:lang w:val="en-US"/>
        </w:rPr>
        <w:t xml:space="preserve"> before they ask for it, for instance by informing them of their rights, duties and obligations</w:t>
      </w:r>
      <w:r>
        <w:rPr>
          <w:lang w:val="en-US"/>
        </w:rPr>
        <w:t xml:space="preserve"> or by delivering services automatically </w:t>
      </w:r>
      <w:sdt>
        <w:sdtPr>
          <w:rPr>
            <w:lang w:val="en-US"/>
          </w:rPr>
          <w:id w:val="-1798523673"/>
          <w:citation/>
        </w:sdtPr>
        <w:sdtEndPr/>
        <w:sdtContent>
          <w:r>
            <w:rPr>
              <w:lang w:val="en-US"/>
            </w:rPr>
            <w:fldChar w:fldCharType="begin"/>
          </w:r>
          <w:r>
            <w:rPr>
              <w:lang w:val="en-US"/>
            </w:rPr>
            <w:instrText xml:space="preserve"> CITATION Mend_e4sgpgfrFjuOO0phTEtveQ \l 2057 </w:instrText>
          </w:r>
          <w:r>
            <w:rPr>
              <w:lang w:val="en-US"/>
            </w:rPr>
            <w:fldChar w:fldCharType="separate"/>
          </w:r>
          <w:r w:rsidRPr="00F86F21" w:rsidR="00F86F21">
            <w:rPr>
              <w:noProof/>
              <w:lang w:val="en-US"/>
            </w:rPr>
            <w:t>(OECD, 2024</w:t>
          </w:r>
          <w:r w:rsidRPr="00F86F21" w:rsidR="00F86F21">
            <w:rPr>
              <w:noProof/>
              <w:vertAlign w:val="subscript"/>
              <w:lang w:val="en-US"/>
            </w:rPr>
            <w:t>[9]</w:t>
          </w:r>
          <w:r w:rsidRPr="00F86F21" w:rsidR="00F86F21">
            <w:rPr>
              <w:noProof/>
              <w:lang w:val="en-US"/>
            </w:rPr>
            <w:t>)</w:t>
          </w:r>
          <w:r>
            <w:rPr>
              <w:lang w:val="en-US"/>
            </w:rPr>
            <w:fldChar w:fldCharType="end"/>
          </w:r>
        </w:sdtContent>
      </w:sdt>
      <w:r w:rsidRPr="00D33D3F">
        <w:rPr>
          <w:lang w:val="en-US"/>
        </w:rPr>
        <w:t xml:space="preserve">. </w:t>
      </w:r>
    </w:p>
    <w:p w:rsidR="00442820" w:rsidRDefault="00442820" w14:paraId="428ED48D" w14:textId="77777777">
      <w:pPr>
        <w:widowControl/>
        <w:spacing w:after="200" w:line="276" w:lineRule="auto"/>
        <w:jc w:val="left"/>
        <w:rPr>
          <w:color w:val="000000" w:themeColor="text1"/>
          <w:sz w:val="20"/>
          <w:lang w:val="en-US"/>
        </w:rPr>
      </w:pPr>
      <w:r>
        <w:rPr>
          <w:lang w:val="en-US"/>
        </w:rPr>
        <w:br w:type="page"/>
      </w:r>
    </w:p>
    <w:p w:rsidR="00442820" w:rsidP="00442820" w:rsidRDefault="00442820" w14:paraId="67949EF4" w14:textId="77777777">
      <w:pPr>
        <w:pStyle w:val="Para0"/>
        <w:rPr>
          <w:lang w:val="en-US"/>
        </w:rPr>
      </w:pPr>
    </w:p>
    <w:tbl>
      <w:tblPr>
        <w:tblStyle w:val="OECD"/>
        <w:tblW w:w="0" w:type="auto"/>
        <w:tblLook w:val="04A0" w:firstRow="1" w:lastRow="0" w:firstColumn="1" w:lastColumn="0" w:noHBand="0" w:noVBand="1"/>
      </w:tblPr>
      <w:tblGrid>
        <w:gridCol w:w="9298"/>
      </w:tblGrid>
      <w:tr w:rsidR="00186646" w14:paraId="782E43B0" w14:textId="77777777">
        <w:tc>
          <w:tcPr>
            <w:tcW w:w="9298" w:type="dxa"/>
            <w:shd w:val="clear" w:color="auto" w:fill="244061" w:themeFill="accent1" w:themeFillShade="80"/>
          </w:tcPr>
          <w:p w:rsidRPr="00703A21" w:rsidR="00186646" w:rsidRDefault="00186646" w14:paraId="3B41D71E" w14:textId="77777777">
            <w:pPr>
              <w:pStyle w:val="Para0"/>
              <w:jc w:val="center"/>
              <w:rPr>
                <w:b/>
                <w:bCs/>
                <w:color w:val="FFFFFF" w:themeColor="background1"/>
                <w:sz w:val="24"/>
                <w:szCs w:val="24"/>
              </w:rPr>
            </w:pPr>
            <w:r w:rsidRPr="00703A21">
              <w:rPr>
                <w:b/>
                <w:bCs/>
                <w:noProof/>
                <w:color w:val="FFFFFF" w:themeColor="background1"/>
                <w:sz w:val="24"/>
                <w:szCs w:val="24"/>
              </w:rPr>
              <w:drawing>
                <wp:anchor distT="0" distB="0" distL="114300" distR="114300" simplePos="0" relativeHeight="251658246" behindDoc="1" locked="0" layoutInCell="1" allowOverlap="1" wp14:anchorId="21E7B066" wp14:editId="18AD3E8B">
                  <wp:simplePos x="0" y="0"/>
                  <wp:positionH relativeFrom="column">
                    <wp:posOffset>4919980</wp:posOffset>
                  </wp:positionH>
                  <wp:positionV relativeFrom="paragraph">
                    <wp:posOffset>22860</wp:posOffset>
                  </wp:positionV>
                  <wp:extent cx="914400" cy="914400"/>
                  <wp:effectExtent l="0" t="0" r="0" b="0"/>
                  <wp:wrapTight wrapText="bothSides">
                    <wp:wrapPolygon edited="0">
                      <wp:start x="4950" y="1800"/>
                      <wp:lineTo x="2250" y="9450"/>
                      <wp:lineTo x="2250" y="18450"/>
                      <wp:lineTo x="2700" y="19350"/>
                      <wp:lineTo x="18450" y="19350"/>
                      <wp:lineTo x="18900" y="18450"/>
                      <wp:lineTo x="19350" y="9900"/>
                      <wp:lineTo x="16200" y="1800"/>
                      <wp:lineTo x="4950" y="1800"/>
                    </wp:wrapPolygon>
                  </wp:wrapTight>
                  <wp:docPr id="546089314" name="Graphic 9" descr="Binoculars with solid fill">
                    <a:extLst xmlns:a="http://schemas.openxmlformats.org/drawingml/2006/main">
                      <a:ext uri="{FF2B5EF4-FFF2-40B4-BE49-F238E27FC236}">
                        <a16:creationId xmlns:a16="http://schemas.microsoft.com/office/drawing/2014/main" id="{B7C8702F-2BF8-C298-122E-A6D0E747D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089314" name="Graphic 9" descr="Binoculars with solid fill">
                            <a:extLst>
                              <a:ext uri="{FF2B5EF4-FFF2-40B4-BE49-F238E27FC236}">
                                <a16:creationId xmlns:a16="http://schemas.microsoft.com/office/drawing/2014/main" id="{B7C8702F-2BF8-C298-122E-A6D0E747D968}"/>
                              </a:ext>
                            </a:extLst>
                          </pic:cNvPr>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a:off x="0" y="0"/>
                            <a:ext cx="914400" cy="914400"/>
                          </a:xfrm>
                          <a:prstGeom prst="rect">
                            <a:avLst/>
                          </a:prstGeom>
                        </pic:spPr>
                      </pic:pic>
                    </a:graphicData>
                  </a:graphic>
                </wp:anchor>
              </w:drawing>
            </w:r>
            <w:r w:rsidRPr="00703A21">
              <w:rPr>
                <w:b/>
                <w:bCs/>
                <w:color w:val="FFFFFF" w:themeColor="background1"/>
                <w:sz w:val="24"/>
                <w:szCs w:val="24"/>
              </w:rPr>
              <w:t xml:space="preserve">Spotlight on results from the TSI Satisfaction Survey </w:t>
            </w:r>
          </w:p>
          <w:p w:rsidRPr="00703A21" w:rsidR="00186646" w:rsidRDefault="00186646" w14:paraId="67E6602E" w14:textId="7983CE41">
            <w:pPr>
              <w:pStyle w:val="Para0"/>
              <w:jc w:val="center"/>
              <w:rPr>
                <w:b/>
                <w:bCs/>
                <w:color w:val="FFFFFF" w:themeColor="background1"/>
                <w:sz w:val="24"/>
                <w:szCs w:val="24"/>
              </w:rPr>
            </w:pPr>
            <w:r>
              <w:rPr>
                <w:b/>
                <w:bCs/>
                <w:color w:val="FFFFFF" w:themeColor="background1"/>
                <w:sz w:val="24"/>
                <w:szCs w:val="24"/>
              </w:rPr>
              <w:t xml:space="preserve">Proactive Services </w:t>
            </w:r>
          </w:p>
          <w:p w:rsidRPr="007D5800" w:rsidR="00186646" w:rsidP="00442820" w:rsidRDefault="00186646" w14:paraId="1D0E5A0B" w14:textId="4B827778">
            <w:pPr>
              <w:pStyle w:val="Para0"/>
              <w:numPr>
                <w:ilvl w:val="0"/>
                <w:numId w:val="27"/>
              </w:numPr>
              <w:rPr>
                <w:b/>
                <w:bCs/>
                <w:color w:val="FFFFFF" w:themeColor="background1"/>
              </w:rPr>
            </w:pPr>
            <w:r w:rsidRPr="00E05EE5">
              <w:rPr>
                <w:color w:val="FFFFFF" w:themeColor="background1"/>
              </w:rPr>
              <w:t xml:space="preserve">Countries are overall succeeding in providing services that are easy to find. </w:t>
            </w:r>
            <w:r w:rsidRPr="00186646">
              <w:rPr>
                <w:b/>
                <w:bCs/>
                <w:color w:val="FFFFFF" w:themeColor="background1"/>
              </w:rPr>
              <w:t>71% of users across the EU-10 are satisfied with the ease of finding the service</w:t>
            </w:r>
            <w:r>
              <w:rPr>
                <w:color w:val="FFFFFF" w:themeColor="background1"/>
              </w:rPr>
              <w:t>.</w:t>
            </w:r>
          </w:p>
          <w:p w:rsidRPr="00186646" w:rsidR="007D5800" w:rsidP="00442820" w:rsidRDefault="00AE1712" w14:paraId="0411FAD6" w14:textId="4551C2A5">
            <w:pPr>
              <w:pStyle w:val="Para0"/>
              <w:numPr>
                <w:ilvl w:val="0"/>
                <w:numId w:val="27"/>
              </w:numPr>
              <w:rPr>
                <w:b/>
                <w:bCs/>
                <w:color w:val="FFFFFF" w:themeColor="background1"/>
              </w:rPr>
            </w:pPr>
            <w:r>
              <w:rPr>
                <w:b/>
                <w:bCs/>
                <w:noProof/>
                <w:color w:val="FFFFFF" w:themeColor="background1"/>
              </w:rPr>
              <w:drawing>
                <wp:anchor distT="0" distB="0" distL="114300" distR="114300" simplePos="0" relativeHeight="251658259" behindDoc="1" locked="0" layoutInCell="1" allowOverlap="1" wp14:anchorId="2F40FE4B" wp14:editId="11494E55">
                  <wp:simplePos x="0" y="0"/>
                  <wp:positionH relativeFrom="column">
                    <wp:posOffset>-66040</wp:posOffset>
                  </wp:positionH>
                  <wp:positionV relativeFrom="paragraph">
                    <wp:posOffset>212725</wp:posOffset>
                  </wp:positionV>
                  <wp:extent cx="5901690" cy="4260850"/>
                  <wp:effectExtent l="0" t="0" r="0" b="6350"/>
                  <wp:wrapSquare wrapText="bothSides"/>
                  <wp:docPr id="4048220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7652"/>
                          <a:stretch>
                            <a:fillRect/>
                          </a:stretch>
                        </pic:blipFill>
                        <pic:spPr bwMode="auto">
                          <a:xfrm>
                            <a:off x="0" y="0"/>
                            <a:ext cx="5901690" cy="42608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72065F">
              <w:rPr>
                <w:b/>
                <w:bCs/>
                <w:color w:val="FFFFFF" w:themeColor="background1"/>
              </w:rPr>
              <w:t xml:space="preserve">A variation in satisfaction levels exists regarding the types of Life Events covered. </w:t>
            </w:r>
          </w:p>
          <w:p w:rsidRPr="00832509" w:rsidR="00B311B9" w:rsidP="00B311B9" w:rsidRDefault="00B311B9" w14:paraId="56F05E8A" w14:textId="63FEC181">
            <w:pPr>
              <w:pStyle w:val="Para0"/>
              <w:rPr>
                <w:color w:val="FFFFFF" w:themeColor="background1"/>
                <w:sz w:val="16"/>
                <w:szCs w:val="16"/>
              </w:rPr>
            </w:pPr>
            <w:r w:rsidRPr="00832509">
              <w:rPr>
                <w:color w:val="FFFFFF" w:themeColor="background1"/>
                <w:sz w:val="16"/>
                <w:szCs w:val="16"/>
              </w:rPr>
              <w:t>Note: The dark blue arch represents the average satisfaction level with this driver for user</w:t>
            </w:r>
            <w:r w:rsidR="00535765">
              <w:rPr>
                <w:color w:val="FFFFFF" w:themeColor="background1"/>
                <w:sz w:val="16"/>
                <w:szCs w:val="16"/>
              </w:rPr>
              <w:t>s</w:t>
            </w:r>
            <w:r w:rsidRPr="00832509">
              <w:rPr>
                <w:color w:val="FFFFFF" w:themeColor="background1"/>
                <w:sz w:val="16"/>
                <w:szCs w:val="16"/>
              </w:rPr>
              <w:t xml:space="preserve"> of all Life Events across the EU-10. The green pointer represents the satisfaction level of the user for this driver when experiencing the specific Life Event. The pointer position shows whether satisfaction for the specific Life Event is higher or lower than the overall average. </w:t>
            </w:r>
          </w:p>
          <w:p w:rsidR="00186646" w:rsidP="00186646" w:rsidRDefault="00B05AE6" w14:paraId="4BAD7851" w14:textId="33436D8E">
            <w:pPr>
              <w:pStyle w:val="Para0"/>
              <w:numPr>
                <w:ilvl w:val="0"/>
                <w:numId w:val="27"/>
              </w:numPr>
              <w:rPr>
                <w:color w:val="FFFFFF" w:themeColor="background1"/>
                <w:lang w:val="en-GB"/>
              </w:rPr>
            </w:pPr>
            <w:r>
              <w:rPr>
                <w:color w:val="FFFFFF" w:themeColor="background1"/>
                <w:lang w:val="en-GB"/>
              </w:rPr>
              <w:t xml:space="preserve">A nine percentage points decrease in satisfaction is identified for users who experience the loss of a loved one, with these users 62% satisfied with the ease of finding the services. A similar level of satisfaction (63%) is also identified for users who lost/looked for a job or moved to a new house/to a new city. </w:t>
            </w:r>
            <w:r w:rsidRPr="00832509">
              <w:rPr>
                <w:b/>
                <w:bCs/>
                <w:color w:val="FFFFFF" w:themeColor="background1"/>
              </w:rPr>
              <w:t xml:space="preserve">The lower levels of satisfaction with the ease of finding services associated with these Life Events can be explained by the </w:t>
            </w:r>
            <w:r w:rsidRPr="00832509" w:rsidR="00FB05CA">
              <w:rPr>
                <w:b/>
                <w:bCs/>
                <w:color w:val="FFFFFF" w:themeColor="background1"/>
              </w:rPr>
              <w:t>multiplicity of actors involved in these services as well as the level of public administration involved.</w:t>
            </w:r>
            <w:r w:rsidR="00FB05CA">
              <w:rPr>
                <w:color w:val="FFFFFF" w:themeColor="background1"/>
                <w:lang w:val="en-GB"/>
              </w:rPr>
              <w:t xml:space="preserve"> For instance, in relation to losing a loved one, the TSI Satisfaction Survey has identified through focus study in Spain, Estonia and Finland that information relating to these Life Events is often dispersed among several central and local government providers. On the other hand, Life Events that </w:t>
            </w:r>
            <w:r w:rsidR="002A654B">
              <w:rPr>
                <w:color w:val="FFFFFF" w:themeColor="background1"/>
                <w:lang w:val="en-GB"/>
              </w:rPr>
              <w:t xml:space="preserve">require less services, such as getting or renewing an ID document records higher levels of satisfaction than the EU average (+10 percentage points). </w:t>
            </w:r>
          </w:p>
          <w:p w:rsidRPr="00EE7985" w:rsidR="00372E85" w:rsidRDefault="00372E85" w14:paraId="4C12615E" w14:textId="7B3187AC">
            <w:pPr>
              <w:pStyle w:val="Para0"/>
              <w:numPr>
                <w:ilvl w:val="0"/>
                <w:numId w:val="27"/>
              </w:numPr>
              <w:rPr>
                <w:b/>
                <w:bCs/>
                <w:color w:val="FFFFFF" w:themeColor="background1"/>
              </w:rPr>
            </w:pPr>
            <w:r w:rsidRPr="00372E85">
              <w:rPr>
                <w:b/>
                <w:bCs/>
                <w:color w:val="FFFFFF" w:themeColor="background1"/>
              </w:rPr>
              <w:t xml:space="preserve">On average, users are more satisfied with public services when they have been informed of the public services they are entitled to. </w:t>
            </w:r>
            <w:r w:rsidRPr="00372E85">
              <w:rPr>
                <w:color w:val="FFFFFF" w:themeColor="background1"/>
              </w:rPr>
              <w:t xml:space="preserve">In addition to being able to find the service, proactive services mean users being informed of services they are entitled to. Through the survey, users were asked whether they were informed of their </w:t>
            </w:r>
            <w:r w:rsidRPr="00372E85">
              <w:rPr>
                <w:color w:val="FFFFFF" w:themeColor="background1"/>
              </w:rPr>
              <w:t>duties, obligations or available benefits prior to using the public service. Users across the EU-10 who reported being informed before using services showed a level of satisfaction that was, on average, 5 percentage points higher than those who were not informed.</w:t>
            </w:r>
          </w:p>
        </w:tc>
      </w:tr>
    </w:tbl>
    <w:p w:rsidR="001A058F" w:rsidP="001A058F" w:rsidRDefault="001A058F" w14:paraId="76194218" w14:textId="3445B80B">
      <w:pPr>
        <w:pStyle w:val="Para"/>
        <w:numPr>
          <w:ilvl w:val="0"/>
          <w:numId w:val="0"/>
        </w:numPr>
        <w:rPr>
          <w:lang w:val="en-US"/>
        </w:rPr>
      </w:pPr>
      <w:r w:rsidRPr="00832509">
        <w:rPr>
          <w:b/>
          <w:bCs/>
          <w:lang w:val="en-US"/>
        </w:rPr>
        <w:t xml:space="preserve">The OECD Digital Government Policy Framework </w:t>
      </w:r>
      <w:r w:rsidRPr="00832509" w:rsidR="00535765">
        <w:rPr>
          <w:b/>
          <w:bCs/>
          <w:lang w:val="en-US"/>
        </w:rPr>
        <w:t xml:space="preserve">highlights </w:t>
      </w:r>
      <w:r w:rsidRPr="00832509">
        <w:rPr>
          <w:b/>
          <w:bCs/>
          <w:lang w:val="en-US"/>
        </w:rPr>
        <w:t>six dimensions for establishing a digital government, one of which is</w:t>
      </w:r>
      <w:r>
        <w:rPr>
          <w:lang w:val="en-US"/>
        </w:rPr>
        <w:t xml:space="preserve"> </w:t>
      </w:r>
      <w:r>
        <w:rPr>
          <w:b/>
          <w:bCs/>
          <w:lang w:val="en-US"/>
        </w:rPr>
        <w:t xml:space="preserve">proactiveness </w:t>
      </w:r>
      <w:sdt>
        <w:sdtPr>
          <w:rPr>
            <w:b/>
            <w:bCs/>
            <w:lang w:val="en-US"/>
          </w:rPr>
          <w:id w:val="-2087296050"/>
          <w:citation/>
        </w:sdtPr>
        <w:sdtEndPr/>
        <w:sdtContent>
          <w:r>
            <w:rPr>
              <w:b/>
              <w:bCs/>
              <w:lang w:val="en-US"/>
            </w:rPr>
            <w:fldChar w:fldCharType="begin"/>
          </w:r>
          <w:r>
            <w:rPr>
              <w:b/>
              <w:bCs/>
            </w:rPr>
            <w:instrText xml:space="preserve"> CITATION OEC205 \l 2057 </w:instrText>
          </w:r>
          <w:r>
            <w:rPr>
              <w:b/>
              <w:bCs/>
              <w:lang w:val="en-US"/>
            </w:rPr>
            <w:fldChar w:fldCharType="separate"/>
          </w:r>
          <w:r w:rsidRPr="00F86F21" w:rsidR="00F86F21">
            <w:rPr>
              <w:noProof/>
            </w:rPr>
            <w:t>(</w:t>
          </w:r>
          <w:bookmarkStart w:name="OEC205_10" w:id="38"/>
          <w:r w:rsidRPr="00F86F21" w:rsidR="00F86F21">
            <w:rPr>
              <w:noProof/>
            </w:rPr>
            <w:t>OECD, 2020</w:t>
          </w:r>
          <w:r w:rsidRPr="00F86F21" w:rsidR="00F86F21">
            <w:rPr>
              <w:noProof/>
              <w:vertAlign w:val="subscript"/>
            </w:rPr>
            <w:t>[10]</w:t>
          </w:r>
          <w:r w:rsidRPr="00F86F21" w:rsidR="00F86F21">
            <w:rPr>
              <w:noProof/>
            </w:rPr>
            <w:t>)</w:t>
          </w:r>
          <w:bookmarkEnd w:id="38"/>
          <w:r>
            <w:rPr>
              <w:b/>
              <w:bCs/>
              <w:lang w:val="en-US"/>
            </w:rPr>
            <w:fldChar w:fldCharType="end"/>
          </w:r>
        </w:sdtContent>
      </w:sdt>
      <w:r>
        <w:rPr>
          <w:lang w:val="en-US"/>
        </w:rPr>
        <w:t xml:space="preserve">. With the development of AI, the OECD has identified concrete opportunity areas for the government use of AI. This includes the </w:t>
      </w:r>
      <w:r>
        <w:rPr>
          <w:b/>
          <w:bCs/>
          <w:lang w:val="en-US"/>
        </w:rPr>
        <w:t>responsiveness</w:t>
      </w:r>
      <w:r>
        <w:rPr>
          <w:lang w:val="en-US"/>
        </w:rPr>
        <w:t xml:space="preserve"> of public policies and service through enhanced design and delivery approaches that better meet evolving needs of citizens and specific communities including offering more personali</w:t>
      </w:r>
      <w:r w:rsidR="00DB1A64">
        <w:rPr>
          <w:lang w:val="en-US"/>
        </w:rPr>
        <w:t>s</w:t>
      </w:r>
      <w:r>
        <w:rPr>
          <w:lang w:val="en-US"/>
        </w:rPr>
        <w:t>ed public services more proactively</w:t>
      </w:r>
      <w:r w:rsidR="00DB1A64">
        <w:rPr>
          <w:lang w:val="en-US"/>
        </w:rPr>
        <w:t xml:space="preserve"> </w:t>
      </w:r>
      <w:sdt>
        <w:sdtPr>
          <w:rPr>
            <w:lang w:val="en-US"/>
          </w:rPr>
          <w:id w:val="-671867938"/>
          <w:citation/>
        </w:sdtPr>
        <w:sdtEndPr/>
        <w:sdtContent>
          <w:r>
            <w:rPr>
              <w:lang w:val="en-US"/>
            </w:rPr>
            <w:fldChar w:fldCharType="begin"/>
          </w:r>
          <w:r>
            <w:rPr>
              <w:lang w:val="en-US"/>
            </w:rPr>
            <w:instrText xml:space="preserve"> CITATION Kapp_795de142 \l 2057 </w:instrText>
          </w:r>
          <w:r>
            <w:rPr>
              <w:lang w:val="en-US"/>
            </w:rPr>
            <w:fldChar w:fldCharType="separate"/>
          </w:r>
          <w:r w:rsidRPr="00F86F21" w:rsidR="00F86F21">
            <w:rPr>
              <w:noProof/>
              <w:lang w:val="en-US"/>
            </w:rPr>
            <w:t>(</w:t>
          </w:r>
          <w:bookmarkStart w:name="Kapp_795de142_11" w:id="39"/>
          <w:r w:rsidRPr="00F86F21" w:rsidR="00F86F21">
            <w:rPr>
              <w:noProof/>
              <w:lang w:val="en-US"/>
            </w:rPr>
            <w:t>OECD, 2025</w:t>
          </w:r>
          <w:r w:rsidRPr="00F86F21" w:rsidR="00F86F21">
            <w:rPr>
              <w:noProof/>
              <w:vertAlign w:val="subscript"/>
              <w:lang w:val="en-US"/>
            </w:rPr>
            <w:t>[11]</w:t>
          </w:r>
          <w:r w:rsidRPr="00F86F21" w:rsidR="00F86F21">
            <w:rPr>
              <w:noProof/>
              <w:lang w:val="en-US"/>
            </w:rPr>
            <w:t>)</w:t>
          </w:r>
          <w:bookmarkEnd w:id="39"/>
          <w:r>
            <w:rPr>
              <w:lang w:val="en-US"/>
            </w:rPr>
            <w:fldChar w:fldCharType="end"/>
          </w:r>
        </w:sdtContent>
      </w:sdt>
      <w:r w:rsidR="00DB1A64">
        <w:rPr>
          <w:lang w:val="en-US"/>
        </w:rPr>
        <w:t>.</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DB11D9" w14:paraId="54671090"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DB11D9" w:rsidRDefault="00DB11D9" w14:paraId="4AF83E3A" w14:textId="7F5527E5">
            <w:pPr>
              <w:pStyle w:val="Caption"/>
            </w:pPr>
            <w:bookmarkStart w:name="_Toc223413797" w:id="40"/>
            <w:bookmarkStart w:name="_Hlk215517818" w:id="41"/>
            <w:r w:rsidRPr="00B44A50">
              <w:t>Box</w:t>
            </w:r>
            <w:r>
              <w:t>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6</w:t>
            </w:r>
            <w:r>
              <w:rPr>
                <w:noProof/>
              </w:rPr>
              <w:fldChar w:fldCharType="end"/>
            </w:r>
            <w:r>
              <w:t>. Use of AI in public service design and delivery</w:t>
            </w:r>
            <w:bookmarkEnd w:id="40"/>
            <w:r>
              <w:t xml:space="preserve"> </w:t>
            </w:r>
          </w:p>
          <w:p w:rsidR="008703FD" w:rsidP="00DB11D9" w:rsidRDefault="00DB11D9" w14:paraId="33D016B3" w14:textId="7C413007">
            <w:pPr>
              <w:pStyle w:val="Para0"/>
            </w:pPr>
            <w:r>
              <w:t xml:space="preserve">The development and use of AI has permeated public service design and delivery in recent years, with 67% of OECD countries using AI to improve this function. AI has important potential in generating predictive analytics and forecasting, allowing public services to anticipate needs and be proactive. AI can help forecast future service needs, optimise resource allocation and enhance responsiveness across various policy domains by enabling the analysis of historical data and trends. </w:t>
            </w:r>
            <w:r w:rsidR="008703FD">
              <w:t xml:space="preserve">AI has also supported countries in developing </w:t>
            </w:r>
            <w:r w:rsidR="000A5DC8">
              <w:t xml:space="preserve">language translation. </w:t>
            </w:r>
          </w:p>
          <w:p w:rsidR="000A5DC8" w:rsidP="00DB11D9" w:rsidRDefault="000A5DC8" w14:paraId="40D9E541" w14:textId="73F5AEB5">
            <w:pPr>
              <w:pStyle w:val="Para0"/>
              <w:rPr>
                <w:b/>
                <w:bCs/>
              </w:rPr>
            </w:pPr>
            <w:r>
              <w:rPr>
                <w:b/>
                <w:bCs/>
              </w:rPr>
              <w:t xml:space="preserve">India’s Bashani Platform </w:t>
            </w:r>
          </w:p>
          <w:p w:rsidRPr="000A5DC8" w:rsidR="000A5DC8" w:rsidP="000A5DC8" w:rsidRDefault="000A5DC8" w14:paraId="3D1C1044" w14:textId="77777777">
            <w:pPr>
              <w:pStyle w:val="Para0"/>
            </w:pPr>
            <w:r w:rsidRPr="000A5DC8">
              <w:t>Under the National Language Translation Mission, India developed Bhashini, an AI-led language infrastructure project.</w:t>
            </w:r>
          </w:p>
          <w:p w:rsidRPr="000A5DC8" w:rsidR="000A5DC8" w:rsidP="000A5DC8" w:rsidRDefault="000A5DC8" w14:paraId="78A8E089" w14:textId="77777777">
            <w:pPr>
              <w:pStyle w:val="Para0"/>
              <w:numPr>
                <w:ilvl w:val="0"/>
                <w:numId w:val="48"/>
              </w:numPr>
            </w:pPr>
            <w:r w:rsidRPr="000A5DC8">
              <w:t>Capabilities: Real-time translation across 22 official languages and multiple dialects.</w:t>
            </w:r>
          </w:p>
          <w:p w:rsidRPr="000A5DC8" w:rsidR="000A5DC8" w:rsidRDefault="000A5DC8" w14:paraId="533A0489" w14:textId="77777777">
            <w:pPr>
              <w:pStyle w:val="Para0"/>
              <w:numPr>
                <w:ilvl w:val="0"/>
                <w:numId w:val="48"/>
              </w:numPr>
            </w:pPr>
            <w:r w:rsidRPr="000A5DC8">
              <w:t>Supports multilingual voice assistants and AI service delivery interfaces, making government services accessible to citizens in their native languages.</w:t>
            </w:r>
          </w:p>
          <w:p w:rsidR="004E3E50" w:rsidRDefault="000A5DC8" w14:paraId="184703A7" w14:textId="77777777">
            <w:pPr>
              <w:pStyle w:val="Para0"/>
              <w:numPr>
                <w:ilvl w:val="0"/>
                <w:numId w:val="48"/>
              </w:numPr>
            </w:pPr>
            <w:r w:rsidRPr="000A5DC8">
              <w:t>Built through a large-scale citizen engagement exercise to ensure linguistic representativeness.</w:t>
            </w:r>
          </w:p>
          <w:p w:rsidR="004E3E50" w:rsidP="004E3E50" w:rsidRDefault="004E3E50" w14:paraId="4573D9C2" w14:textId="77777777">
            <w:pPr>
              <w:pStyle w:val="Para0"/>
              <w:rPr>
                <w:b/>
                <w:bCs/>
              </w:rPr>
            </w:pPr>
            <w:r>
              <w:rPr>
                <w:b/>
                <w:bCs/>
              </w:rPr>
              <w:t xml:space="preserve">Korea’s SIMTOMI for Healthcare </w:t>
            </w:r>
          </w:p>
          <w:p w:rsidRPr="004E3E50" w:rsidR="004E3E50" w:rsidP="004E3E50" w:rsidRDefault="004E3E50" w14:paraId="5E304688" w14:textId="77777777">
            <w:pPr>
              <w:pStyle w:val="Para0"/>
            </w:pPr>
            <w:r w:rsidRPr="004E3E50">
              <w:t xml:space="preserve">In Incheon, Korea launched </w:t>
            </w:r>
            <w:r w:rsidRPr="004E3E50">
              <w:rPr>
                <w:b/>
                <w:bCs/>
              </w:rPr>
              <w:t>SIMTOMI</w:t>
            </w:r>
            <w:r w:rsidRPr="004E3E50">
              <w:t>, an AI-powered medical support service for foreign patients and tourists.</w:t>
            </w:r>
          </w:p>
          <w:p w:rsidRPr="004E3E50" w:rsidR="004E3E50" w:rsidP="004E3E50" w:rsidRDefault="004E3E50" w14:paraId="7D0EBDC6" w14:textId="77777777">
            <w:pPr>
              <w:pStyle w:val="Para0"/>
              <w:numPr>
                <w:ilvl w:val="0"/>
                <w:numId w:val="49"/>
              </w:numPr>
            </w:pPr>
            <w:r w:rsidRPr="004E3E50">
              <w:rPr>
                <w:b/>
                <w:bCs/>
              </w:rPr>
              <w:t>Functionality:</w:t>
            </w:r>
            <w:r w:rsidRPr="004E3E50">
              <w:t xml:space="preserve"> Combines a multilingual AI symptom checker with advanced translation capabilities, enabling accurate communication between patients and healthcare providers.</w:t>
            </w:r>
          </w:p>
          <w:p w:rsidR="004E3E50" w:rsidRDefault="004E3E50" w14:paraId="36C47208" w14:textId="77777777">
            <w:pPr>
              <w:pStyle w:val="Para0"/>
              <w:numPr>
                <w:ilvl w:val="0"/>
                <w:numId w:val="49"/>
              </w:numPr>
            </w:pPr>
            <w:r w:rsidRPr="004E3E50">
              <w:t>Generates anonymised symptom summaries that can be shared via QR codes during hospital visits.</w:t>
            </w:r>
            <w:r>
              <w:t xml:space="preserve"> </w:t>
            </w:r>
          </w:p>
          <w:p w:rsidRPr="000A5DC8" w:rsidR="000A5DC8" w:rsidRDefault="004E3E50" w14:paraId="2D640232" w14:textId="038F97F0">
            <w:pPr>
              <w:pStyle w:val="Para0"/>
              <w:numPr>
                <w:ilvl w:val="0"/>
                <w:numId w:val="49"/>
              </w:numPr>
            </w:pPr>
            <w:r w:rsidRPr="004E3E50">
              <w:t>Achieved high satisfaction (84.4 points) and a 95% intention-to-reuse rate, showing strong impact on accessibility.</w:t>
            </w:r>
            <w:r w:rsidRPr="000A5DC8" w:rsidR="000A5DC8">
              <w:t xml:space="preserve"> </w:t>
            </w:r>
          </w:p>
          <w:p w:rsidRPr="00775FF9" w:rsidR="00DB11D9" w:rsidP="00DB11D9" w:rsidRDefault="00DB11D9" w14:paraId="7F6803CF" w14:textId="3A43A080">
            <w:pPr>
              <w:pStyle w:val="Sourcenotes"/>
            </w:pPr>
            <w:r>
              <w:t>Source: OECD Governing with AI</w:t>
            </w:r>
            <w:r w:rsidR="004E3E50">
              <w:t>, 2025</w:t>
            </w:r>
          </w:p>
        </w:tc>
      </w:tr>
    </w:tbl>
    <w:bookmarkEnd w:id="41"/>
    <w:p w:rsidRPr="00D33D3F" w:rsidR="00FA0085" w:rsidP="00FA0085" w:rsidRDefault="00FA0085" w14:paraId="7416CFF6" w14:textId="334EB11A">
      <w:pPr>
        <w:pStyle w:val="Para"/>
        <w:numPr>
          <w:ilvl w:val="0"/>
          <w:numId w:val="0"/>
        </w:numPr>
        <w:rPr>
          <w:lang w:val="en-US"/>
        </w:rPr>
      </w:pPr>
      <w:r>
        <w:rPr>
          <w:b/>
          <w:lang w:val="en-US"/>
        </w:rPr>
        <w:t xml:space="preserve">The OECD Digital Government Index </w:t>
      </w:r>
      <w:r w:rsidRPr="00832509">
        <w:rPr>
          <w:b/>
          <w:lang w:val="en-US"/>
        </w:rPr>
        <w:t>provides insights on how OECD member countries perform in deriving value from data to inform policy and service delivery.</w:t>
      </w:r>
      <w:r>
        <w:rPr>
          <w:bCs/>
          <w:lang w:val="en-US"/>
        </w:rPr>
        <w:t xml:space="preserve"> In relation to </w:t>
      </w:r>
      <w:r>
        <w:rPr>
          <w:b/>
          <w:lang w:val="en-US"/>
        </w:rPr>
        <w:t>proactive services</w:t>
      </w:r>
      <w:r>
        <w:rPr>
          <w:bCs/>
          <w:lang w:val="en-US"/>
        </w:rPr>
        <w:t xml:space="preserve">, the DGI assessed whether data is used to anticipate, plan and monitor. On the initiatives to design and deliver government services based on users’ data, countries are only halfway there, with 34% of countries responding to the DGI having no such initiative at all </w:t>
      </w:r>
      <w:sdt>
        <w:sdtPr>
          <w:rPr>
            <w:bCs/>
            <w:lang w:val="en-US"/>
          </w:rPr>
          <w:id w:val="-1727288833"/>
          <w:citation/>
        </w:sdtPr>
        <w:sdtEndPr/>
        <w:sdtContent>
          <w:r>
            <w:rPr>
              <w:bCs/>
              <w:lang w:val="en-US"/>
            </w:rPr>
            <w:fldChar w:fldCharType="begin"/>
          </w:r>
          <w:r>
            <w:rPr>
              <w:bCs/>
            </w:rPr>
            <w:instrText xml:space="preserve"> CITATION OEC24 \l 2057 </w:instrText>
          </w:r>
          <w:r>
            <w:rPr>
              <w:bCs/>
              <w:lang w:val="en-US"/>
            </w:rPr>
            <w:fldChar w:fldCharType="separate"/>
          </w:r>
          <w:r w:rsidRPr="00F86F21" w:rsidR="00F86F21">
            <w:rPr>
              <w:noProof/>
            </w:rPr>
            <w:t>(OECD, 2024</w:t>
          </w:r>
          <w:r w:rsidRPr="00F86F21" w:rsidR="00F86F21">
            <w:rPr>
              <w:noProof/>
              <w:vertAlign w:val="subscript"/>
            </w:rPr>
            <w:t>[4]</w:t>
          </w:r>
          <w:r w:rsidRPr="00F86F21" w:rsidR="00F86F21">
            <w:rPr>
              <w:noProof/>
            </w:rPr>
            <w:t>)</w:t>
          </w:r>
          <w:r>
            <w:rPr>
              <w:bCs/>
              <w:lang w:val="en-US"/>
            </w:rPr>
            <w:fldChar w:fldCharType="end"/>
          </w:r>
        </w:sdtContent>
      </w:sdt>
      <w:r>
        <w:rPr>
          <w:bCs/>
          <w:lang w:val="en-US"/>
        </w:rPr>
        <w:t xml:space="preserve">. </w:t>
      </w:r>
    </w:p>
    <w:p w:rsidR="009B65C5" w:rsidP="009B65C5" w:rsidRDefault="009B65C5" w14:paraId="3A89314E" w14:textId="35B5E0E3">
      <w:pPr>
        <w:pStyle w:val="Heading3"/>
      </w:pPr>
      <w:r>
        <w:t xml:space="preserve">Country </w:t>
      </w:r>
      <w:r w:rsidR="00370F9D">
        <w:t>p</w:t>
      </w:r>
      <w:r>
        <w:t xml:space="preserve">ractices and </w:t>
      </w:r>
      <w:r w:rsidR="00370F9D">
        <w:t>l</w:t>
      </w:r>
      <w:r>
        <w:t xml:space="preserve">essons </w:t>
      </w:r>
      <w:r w:rsidR="00370F9D">
        <w:t>l</w:t>
      </w:r>
      <w:r>
        <w:t>earned</w:t>
      </w:r>
    </w:p>
    <w:p w:rsidR="0054259F" w:rsidP="008E3481" w:rsidRDefault="008E3481" w14:paraId="253D28DB" w14:textId="6554E1D6">
      <w:pPr>
        <w:pStyle w:val="Para0"/>
        <w:rPr>
          <w:b/>
        </w:rPr>
      </w:pPr>
      <w:r>
        <w:rPr>
          <w:b/>
        </w:rPr>
        <w:t xml:space="preserve">Actions taken by </w:t>
      </w:r>
      <w:r w:rsidR="0054259F">
        <w:rPr>
          <w:b/>
        </w:rPr>
        <w:t>public administrations to deliver proactive services can be identified through examining the deliver</w:t>
      </w:r>
      <w:r w:rsidR="007A3BE2">
        <w:rPr>
          <w:b/>
        </w:rPr>
        <w:t>y</w:t>
      </w:r>
      <w:r w:rsidR="0054259F">
        <w:rPr>
          <w:b/>
        </w:rPr>
        <w:t xml:space="preserve"> of various Life Events across participating countries in the TSI Project. </w:t>
      </w:r>
    </w:p>
    <w:p w:rsidRPr="00AC316B" w:rsidR="00AC316B" w:rsidRDefault="006E0A31" w14:paraId="1139B98C" w14:textId="6A010C14">
      <w:pPr>
        <w:pStyle w:val="Heading4"/>
        <w:rPr>
          <w:b/>
        </w:rPr>
      </w:pPr>
      <w:r>
        <w:t>Auto filling</w:t>
      </w:r>
      <w:r w:rsidR="00AC316B">
        <w:t xml:space="preserve"> of information for citizens </w:t>
      </w:r>
    </w:p>
    <w:p w:rsidR="004E3E50" w:rsidP="008E3481" w:rsidRDefault="007A3BE2" w14:paraId="08FE0345" w14:textId="6DF430EE">
      <w:pPr>
        <w:pStyle w:val="Para0"/>
        <w:rPr>
          <w:bCs/>
        </w:rPr>
      </w:pPr>
      <w:r w:rsidRPr="00832509">
        <w:rPr>
          <w:b/>
        </w:rPr>
        <w:t>The proactiveness of services can relate to the auto-filling of information for citizens, to reduce the time taken to fulfil their duties and obligations.</w:t>
      </w:r>
      <w:r>
        <w:rPr>
          <w:bCs/>
        </w:rPr>
        <w:t xml:space="preserve"> Latvia</w:t>
      </w:r>
      <w:r w:rsidR="00DB11D9">
        <w:rPr>
          <w:bCs/>
        </w:rPr>
        <w:t xml:space="preserve">, Spain and Lithuania </w:t>
      </w:r>
      <w:r>
        <w:rPr>
          <w:bCs/>
        </w:rPr>
        <w:t>invest in service proactiveness with regard to filling tax declarations</w:t>
      </w:r>
      <w:r w:rsidR="00DB11D9">
        <w:rPr>
          <w:bCs/>
        </w:rPr>
        <w:t xml:space="preserve"> (</w:t>
      </w:r>
      <w:r w:rsidR="00DB11D9">
        <w:rPr>
          <w:bCs/>
        </w:rPr>
        <w:fldChar w:fldCharType="begin"/>
      </w:r>
      <w:r w:rsidR="00DB11D9">
        <w:rPr>
          <w:bCs/>
        </w:rPr>
        <w:instrText xml:space="preserve"> REF _Ref215223829 \h </w:instrText>
      </w:r>
      <w:r w:rsidR="00DB11D9">
        <w:rPr>
          <w:bCs/>
        </w:rPr>
      </w:r>
      <w:r w:rsidR="00DB11D9">
        <w:rPr>
          <w:bCs/>
        </w:rPr>
        <w:fldChar w:fldCharType="separate"/>
      </w:r>
      <w:r w:rsidRPr="00B44A50" w:rsidR="00543B3D">
        <w:t>Box</w:t>
      </w:r>
      <w:r w:rsidR="00543B3D">
        <w:t> </w:t>
      </w:r>
      <w:r w:rsidR="00543B3D">
        <w:rPr>
          <w:noProof/>
        </w:rPr>
        <w:t>2</w:t>
      </w:r>
      <w:r w:rsidR="00543B3D">
        <w:t>.</w:t>
      </w:r>
      <w:r w:rsidR="00543B3D">
        <w:rPr>
          <w:noProof/>
        </w:rPr>
        <w:t>7</w:t>
      </w:r>
      <w:r w:rsidR="00DB11D9">
        <w:rPr>
          <w:bCs/>
        </w:rPr>
        <w:fldChar w:fldCharType="end"/>
      </w:r>
      <w:r w:rsidR="00DB11D9">
        <w:rPr>
          <w:bCs/>
        </w:rPr>
        <w:t>)</w:t>
      </w:r>
      <w:r>
        <w:rPr>
          <w:bCs/>
        </w:rPr>
        <w:t xml:space="preserve">.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3B1AF3" w:rsidTr="004E3E50" w14:paraId="1225197D" w14:textId="77777777">
        <w:trPr>
          <w:cantSplit/>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3B1AF3" w:rsidRDefault="003B1AF3" w14:paraId="53DA80FF" w14:textId="0A283E97">
            <w:pPr>
              <w:pStyle w:val="Caption"/>
            </w:pPr>
            <w:bookmarkStart w:name="_Ref215223829" w:id="42"/>
            <w:bookmarkStart w:name="_Toc223413798" w:id="43"/>
            <w:r>
              <w:rPr>
                <w:noProof/>
              </w:rPr>
              <w:drawing>
                <wp:anchor distT="0" distB="0" distL="114300" distR="114300" simplePos="0" relativeHeight="251658264" behindDoc="1" locked="0" layoutInCell="1" allowOverlap="1" wp14:anchorId="0562B52B" wp14:editId="0EB72AD0">
                  <wp:simplePos x="0" y="0"/>
                  <wp:positionH relativeFrom="column">
                    <wp:posOffset>-48553</wp:posOffset>
                  </wp:positionH>
                  <wp:positionV relativeFrom="paragraph">
                    <wp:posOffset>244</wp:posOffset>
                  </wp:positionV>
                  <wp:extent cx="914400" cy="914400"/>
                  <wp:effectExtent l="0" t="0" r="0" b="0"/>
                  <wp:wrapTight wrapText="bothSides">
                    <wp:wrapPolygon edited="0">
                      <wp:start x="5400" y="1350"/>
                      <wp:lineTo x="1800" y="14850"/>
                      <wp:lineTo x="2250" y="16650"/>
                      <wp:lineTo x="4500" y="18900"/>
                      <wp:lineTo x="4950" y="19800"/>
                      <wp:lineTo x="15750" y="19800"/>
                      <wp:lineTo x="16200" y="18900"/>
                      <wp:lineTo x="18900" y="17100"/>
                      <wp:lineTo x="18900" y="12600"/>
                      <wp:lineTo x="17100" y="9450"/>
                      <wp:lineTo x="15750" y="1350"/>
                      <wp:lineTo x="5400" y="1350"/>
                    </wp:wrapPolygon>
                  </wp:wrapTight>
                  <wp:docPr id="439184581" name="Graphic 1" descr="Tax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184581" name="Graphic 439184581" descr="Tax with solid fill"/>
                          <pic:cNvPicPr/>
                        </pic:nvPicPr>
                        <pic:blipFill>
                          <a:blip r:embed="rId32">
                            <a:extLst>
                              <a:ext uri="{96DAC541-7B7A-43D3-8B79-37D633B846F1}">
                                <asvg:svgBlip xmlns:asvg="http://schemas.microsoft.com/office/drawing/2016/SVG/main" r:embed="rId33"/>
                              </a:ext>
                            </a:extLst>
                          </a:blip>
                          <a:stretch>
                            <a:fillRect/>
                          </a:stretch>
                        </pic:blipFill>
                        <pic:spPr>
                          <a:xfrm>
                            <a:off x="0" y="0"/>
                            <a:ext cx="914400" cy="914400"/>
                          </a:xfrm>
                          <a:prstGeom prst="rect">
                            <a:avLst/>
                          </a:prstGeom>
                        </pic:spPr>
                      </pic:pic>
                    </a:graphicData>
                  </a:graphic>
                </wp:anchor>
              </w:drawing>
            </w:r>
            <w:r>
              <w:rPr>
                <w:noProof/>
              </w:rPr>
              <w:drawing>
                <wp:anchor distT="0" distB="0" distL="114300" distR="114300" simplePos="0" relativeHeight="251658263" behindDoc="1" locked="0" layoutInCell="1" allowOverlap="1" wp14:anchorId="5AE8C164" wp14:editId="7E8F963A">
                  <wp:simplePos x="0" y="0"/>
                  <wp:positionH relativeFrom="column">
                    <wp:posOffset>4720395</wp:posOffset>
                  </wp:positionH>
                  <wp:positionV relativeFrom="paragraph">
                    <wp:posOffset>447381</wp:posOffset>
                  </wp:positionV>
                  <wp:extent cx="974725" cy="488315"/>
                  <wp:effectExtent l="0" t="0" r="0" b="6985"/>
                  <wp:wrapTight wrapText="bothSides">
                    <wp:wrapPolygon edited="0">
                      <wp:start x="0" y="0"/>
                      <wp:lineTo x="0" y="21066"/>
                      <wp:lineTo x="21107" y="21066"/>
                      <wp:lineTo x="21107" y="0"/>
                      <wp:lineTo x="0" y="0"/>
                    </wp:wrapPolygon>
                  </wp:wrapTight>
                  <wp:docPr id="5037755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74725" cy="488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7</w:t>
            </w:r>
            <w:r>
              <w:rPr>
                <w:noProof/>
              </w:rPr>
              <w:fldChar w:fldCharType="end"/>
            </w:r>
            <w:bookmarkEnd w:id="42"/>
            <w:r>
              <w:t xml:space="preserve">. </w:t>
            </w:r>
            <w:r w:rsidR="00A40062">
              <w:t xml:space="preserve">Latvia, Lithuania, Spain - </w:t>
            </w:r>
            <w:r>
              <w:t>Example of proactiveness of services for Life Event: I filed income taxes</w:t>
            </w:r>
            <w:bookmarkEnd w:id="43"/>
            <w:r>
              <w:t xml:space="preserve"> </w:t>
            </w:r>
          </w:p>
          <w:p w:rsidRPr="00773551" w:rsidR="003B1AF3" w:rsidP="003B1AF3" w:rsidRDefault="003B1AF3" w14:paraId="24AC4F6F" w14:textId="35EED6F0">
            <w:pPr>
              <w:pStyle w:val="BoxHeading2"/>
              <w:rPr>
                <w:i w:val="0"/>
              </w:rPr>
            </w:pPr>
            <w:r w:rsidRPr="00773551">
              <w:rPr>
                <w:i w:val="0"/>
              </w:rPr>
              <w:t>Prefilling income tax declaration in Latvia</w:t>
            </w:r>
            <w:r>
              <w:rPr>
                <w:i w:val="0"/>
              </w:rPr>
              <w:t xml:space="preserve"> </w:t>
            </w:r>
          </w:p>
          <w:p w:rsidR="003B1AF3" w:rsidP="003B1AF3" w:rsidRDefault="003B1AF3" w14:paraId="01701E15" w14:textId="77777777">
            <w:pPr>
              <w:pStyle w:val="Para0"/>
            </w:pPr>
            <w:r>
              <w:rPr>
                <w:noProof/>
              </w:rPr>
              <w:drawing>
                <wp:anchor distT="0" distB="0" distL="114300" distR="114300" simplePos="0" relativeHeight="251658261" behindDoc="1" locked="0" layoutInCell="1" allowOverlap="1" wp14:anchorId="327EA83A" wp14:editId="40088A38">
                  <wp:simplePos x="0" y="0"/>
                  <wp:positionH relativeFrom="column">
                    <wp:posOffset>4683125</wp:posOffset>
                  </wp:positionH>
                  <wp:positionV relativeFrom="paragraph">
                    <wp:posOffset>1656080</wp:posOffset>
                  </wp:positionV>
                  <wp:extent cx="974725" cy="648335"/>
                  <wp:effectExtent l="0" t="0" r="0" b="0"/>
                  <wp:wrapTight wrapText="bothSides">
                    <wp:wrapPolygon edited="0">
                      <wp:start x="0" y="0"/>
                      <wp:lineTo x="0" y="20944"/>
                      <wp:lineTo x="21107" y="20944"/>
                      <wp:lineTo x="21107" y="0"/>
                      <wp:lineTo x="0" y="0"/>
                    </wp:wrapPolygon>
                  </wp:wrapTight>
                  <wp:docPr id="547029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29264"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974725" cy="648335"/>
                          </a:xfrm>
                          <a:prstGeom prst="rect">
                            <a:avLst/>
                          </a:prstGeom>
                        </pic:spPr>
                      </pic:pic>
                    </a:graphicData>
                  </a:graphic>
                  <wp14:sizeRelH relativeFrom="margin">
                    <wp14:pctWidth>0</wp14:pctWidth>
                  </wp14:sizeRelH>
                  <wp14:sizeRelV relativeFrom="margin">
                    <wp14:pctHeight>0</wp14:pctHeight>
                  </wp14:sizeRelV>
                </wp:anchor>
              </w:drawing>
            </w:r>
            <w:r w:rsidRPr="00AD5900">
              <w:t>To make annual income declarations simpler and more convenient, Latvia's State Revenue Service offers a prefilling option through its Electronic Declaration System. The system automatically generates tax forms by pulling in existing data from government entities, credit institutions, and insurance companies, including information on taxable and non-taxable income, pensions and</w:t>
            </w:r>
            <w:r>
              <w:t xml:space="preserve"> </w:t>
            </w:r>
            <w:r w:rsidRPr="00AD5900">
              <w:t>certain expenditures like those for education and healthcare. This streamlines the process, as users are presented with a simplified form that requires them only to review the prefilled data and add any new or missing information. To further assist taxpayers, the electronic form features an integrated “wizard” or help function that asks a series of questions and based on the answers, directs the user to complete only the specific columns and annexes relevant to their situation.</w:t>
            </w:r>
          </w:p>
          <w:p w:rsidRPr="0007730B" w:rsidR="003B1AF3" w:rsidP="003B1AF3" w:rsidRDefault="00DB11D9" w14:paraId="155B47C9" w14:textId="236EB4B4">
            <w:pPr>
              <w:pStyle w:val="Para0"/>
            </w:pPr>
            <w:r>
              <w:rPr>
                <w:rFonts w:asciiTheme="majorHAnsi" w:hAnsiTheme="majorHAnsi"/>
                <w:b/>
                <w:sz w:val="22"/>
              </w:rPr>
              <w:t>Prefilling income tax declaration in Spain</w:t>
            </w:r>
          </w:p>
          <w:p w:rsidRPr="00CB06D3" w:rsidR="003B1AF3" w:rsidP="003B1AF3" w:rsidRDefault="003B1AF3" w14:paraId="69DD94A7" w14:textId="77777777">
            <w:pPr>
              <w:spacing w:before="240" w:after="240"/>
              <w:rPr>
                <w:sz w:val="20"/>
                <w:szCs w:val="20"/>
              </w:rPr>
            </w:pPr>
            <w:r w:rsidRPr="00CB06D3">
              <w:rPr>
                <w:sz w:val="20"/>
                <w:szCs w:val="20"/>
              </w:rPr>
              <w:t>The State Agency for Tax Administration counts among its main objectives the reduction of the compliance costs that citizens face in their interactions with the Public Treasury. Each year, during the income tax filing campaign, taxpayers are provided with pre-filled tax returns. In addition, they can interact with the administration through their preferred channel, including pre-scheduled telephone or in-person appointments.</w:t>
            </w:r>
          </w:p>
          <w:p w:rsidR="003B1AF3" w:rsidP="003B1AF3" w:rsidRDefault="00CB4AD0" w14:paraId="3A68297E" w14:textId="4321DDA7">
            <w:pPr>
              <w:spacing w:before="240" w:after="240"/>
              <w:rPr>
                <w:sz w:val="20"/>
                <w:szCs w:val="20"/>
              </w:rPr>
            </w:pPr>
            <w:r w:rsidRPr="00E30FFF">
              <w:rPr>
                <w:noProof/>
              </w:rPr>
              <w:drawing>
                <wp:anchor distT="0" distB="0" distL="114300" distR="114300" simplePos="0" relativeHeight="251660353" behindDoc="1" locked="0" layoutInCell="1" allowOverlap="1" wp14:anchorId="643B5527" wp14:editId="34A0A0E5">
                  <wp:simplePos x="0" y="0"/>
                  <wp:positionH relativeFrom="column">
                    <wp:posOffset>4679950</wp:posOffset>
                  </wp:positionH>
                  <wp:positionV relativeFrom="paragraph">
                    <wp:posOffset>667385</wp:posOffset>
                  </wp:positionV>
                  <wp:extent cx="983615" cy="491490"/>
                  <wp:effectExtent l="0" t="0" r="6985" b="3810"/>
                  <wp:wrapTight wrapText="bothSides">
                    <wp:wrapPolygon edited="0">
                      <wp:start x="0" y="0"/>
                      <wp:lineTo x="0" y="20930"/>
                      <wp:lineTo x="21335" y="20930"/>
                      <wp:lineTo x="21335" y="0"/>
                      <wp:lineTo x="0" y="0"/>
                    </wp:wrapPolygon>
                  </wp:wrapTight>
                  <wp:docPr id="1411277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173809"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83615" cy="491490"/>
                          </a:xfrm>
                          <a:prstGeom prst="rect">
                            <a:avLst/>
                          </a:prstGeom>
                        </pic:spPr>
                      </pic:pic>
                    </a:graphicData>
                  </a:graphic>
                  <wp14:sizeRelH relativeFrom="margin">
                    <wp14:pctWidth>0</wp14:pctWidth>
                  </wp14:sizeRelH>
                  <wp14:sizeRelV relativeFrom="margin">
                    <wp14:pctHeight>0</wp14:pctHeight>
                  </wp14:sizeRelV>
                </wp:anchor>
              </w:drawing>
            </w:r>
            <w:r w:rsidRPr="00CB06D3" w:rsidR="003B1AF3">
              <w:rPr>
                <w:sz w:val="20"/>
                <w:szCs w:val="20"/>
              </w:rPr>
              <w:t>The online platform offers all the necessary documentation and a range of tutorials, as well as real-time chat with tax agency representatives while completing the return. Users can also correct errors and access all relevant information, including previous filings and a simulator for estimating the amount owed.</w:t>
            </w:r>
            <w:r>
              <w:rPr>
                <w:sz w:val="20"/>
                <w:szCs w:val="20"/>
              </w:rPr>
              <w:t xml:space="preserve"> </w:t>
            </w:r>
            <w:r w:rsidRPr="00CB06D3" w:rsidR="003B1AF3">
              <w:rPr>
                <w:sz w:val="20"/>
                <w:szCs w:val="20"/>
              </w:rPr>
              <w:t>The tax agency proactively communicates the campaign calendar not only through its website but also via targeted messages to taxpayers.</w:t>
            </w:r>
          </w:p>
          <w:p w:rsidR="0013638C" w:rsidP="003B1AF3" w:rsidRDefault="0013638C" w14:paraId="0B893739" w14:textId="70F8A277">
            <w:pPr>
              <w:spacing w:before="240" w:after="240"/>
              <w:rPr>
                <w:b/>
                <w:bCs/>
                <w:sz w:val="20"/>
                <w:szCs w:val="20"/>
              </w:rPr>
            </w:pPr>
            <w:r>
              <w:rPr>
                <w:b/>
                <w:bCs/>
                <w:sz w:val="20"/>
                <w:szCs w:val="20"/>
              </w:rPr>
              <w:t>Prefilling income tax declaration in Slovenia</w:t>
            </w:r>
          </w:p>
          <w:p w:rsidRPr="00832509" w:rsidR="0013638C" w:rsidP="003B1AF3" w:rsidRDefault="00F0764D" w14:paraId="7FC31B07" w14:textId="1606D481">
            <w:pPr>
              <w:spacing w:before="240" w:after="240"/>
              <w:rPr>
                <w:b/>
                <w:bCs/>
                <w:sz w:val="20"/>
                <w:szCs w:val="20"/>
                <w:lang w:val="en-US"/>
              </w:rPr>
            </w:pPr>
            <w:r>
              <w:rPr>
                <w:noProof/>
              </w:rPr>
              <w:drawing>
                <wp:anchor distT="0" distB="0" distL="114300" distR="114300" simplePos="0" relativeHeight="251658262" behindDoc="1" locked="0" layoutInCell="1" allowOverlap="1" wp14:anchorId="22AB5552" wp14:editId="6636FD25">
                  <wp:simplePos x="0" y="0"/>
                  <wp:positionH relativeFrom="column">
                    <wp:posOffset>4718050</wp:posOffset>
                  </wp:positionH>
                  <wp:positionV relativeFrom="paragraph">
                    <wp:posOffset>580390</wp:posOffset>
                  </wp:positionV>
                  <wp:extent cx="934720" cy="635000"/>
                  <wp:effectExtent l="0" t="0" r="0" b="0"/>
                  <wp:wrapTight wrapText="bothSides">
                    <wp:wrapPolygon edited="0">
                      <wp:start x="0" y="0"/>
                      <wp:lineTo x="0" y="20736"/>
                      <wp:lineTo x="21130" y="20736"/>
                      <wp:lineTo x="21130" y="0"/>
                      <wp:lineTo x="0" y="0"/>
                    </wp:wrapPolygon>
                  </wp:wrapTight>
                  <wp:docPr id="1406303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30314" name="Picture 14063031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934720" cy="635000"/>
                          </a:xfrm>
                          <a:prstGeom prst="rect">
                            <a:avLst/>
                          </a:prstGeom>
                        </pic:spPr>
                      </pic:pic>
                    </a:graphicData>
                  </a:graphic>
                  <wp14:sizeRelH relativeFrom="margin">
                    <wp14:pctWidth>0</wp14:pctWidth>
                  </wp14:sizeRelH>
                  <wp14:sizeRelV relativeFrom="margin">
                    <wp14:pctHeight>0</wp14:pctHeight>
                  </wp14:sizeRelV>
                </wp:anchor>
              </w:drawing>
            </w:r>
            <w:r w:rsidRPr="00832509">
              <w:rPr>
                <w:sz w:val="20"/>
                <w:szCs w:val="20"/>
                <w:lang w:val="en-US"/>
              </w:rPr>
              <w:t xml:space="preserve">The Financial Administration of the Republic of Slovenia automatically compiles and sends an informative income tax calculation to all income taxpayers, regardless of the amount of income received, based on all the data already collected. </w:t>
            </w:r>
            <w:r>
              <w:rPr>
                <w:sz w:val="20"/>
                <w:szCs w:val="20"/>
                <w:lang w:val="en-US"/>
              </w:rPr>
              <w:t xml:space="preserve">Taxpayers must only act and file an appeal if they disagree with the information that is already prefilled. </w:t>
            </w:r>
          </w:p>
          <w:p w:rsidR="003B1AF3" w:rsidP="003B1AF3" w:rsidRDefault="00DB11D9" w14:paraId="490C8F3B" w14:textId="285B01E0">
            <w:pPr>
              <w:spacing w:before="240" w:after="240"/>
              <w:rPr>
                <w:b/>
                <w:bCs/>
                <w:sz w:val="20"/>
                <w:szCs w:val="20"/>
              </w:rPr>
            </w:pPr>
            <w:r>
              <w:rPr>
                <w:b/>
                <w:bCs/>
                <w:sz w:val="20"/>
                <w:szCs w:val="20"/>
              </w:rPr>
              <w:t xml:space="preserve">Digitalisation of tax filling in Lithuania </w:t>
            </w:r>
          </w:p>
          <w:p w:rsidRPr="002F16CF" w:rsidR="003B1AF3" w:rsidP="003B1AF3" w:rsidRDefault="003B1AF3" w14:paraId="01DF96B7" w14:textId="77777777">
            <w:pPr>
              <w:rPr>
                <w:sz w:val="20"/>
                <w:szCs w:val="20"/>
              </w:rPr>
            </w:pPr>
            <w:r w:rsidRPr="002F16CF">
              <w:rPr>
                <w:sz w:val="20"/>
                <w:szCs w:val="20"/>
              </w:rPr>
              <w:t>Over the past two decades, the Lithuanian State Tax Inspectorate (STI) has steadily digitised the income-tax filing experience. Central to this effort is the My STI (Mano VMI) platform, built on a unified design system that ensures services are consistent, accessible, and easy to navigate across devices. Each year, the platform provides taxpayers with pre-filled declarations, access to personal tax data, electronic submission forms, and real-time guidance and communication with the tax authority.</w:t>
            </w:r>
          </w:p>
          <w:p w:rsidRPr="002F16CF" w:rsidR="003B1AF3" w:rsidP="003B1AF3" w:rsidRDefault="003B1AF3" w14:paraId="79A59A82" w14:textId="77777777">
            <w:pPr>
              <w:spacing w:before="240" w:after="240"/>
              <w:rPr>
                <w:sz w:val="20"/>
                <w:szCs w:val="20"/>
              </w:rPr>
            </w:pPr>
            <w:r w:rsidRPr="002F16CF">
              <w:rPr>
                <w:sz w:val="20"/>
                <w:szCs w:val="20"/>
              </w:rPr>
              <w:t>To build on this progress, the STI has launched a new data-integration initiative aimed at consolidating information systems, strengthening the use of data to guide operations, eliminating redundant processes, and expanding automation. The project seeks to enhance efficiency, improve service quality, and further reduce the administrative burden for citizens.</w:t>
            </w:r>
          </w:p>
          <w:p w:rsidRPr="00775FF9" w:rsidR="004C0C92" w:rsidP="00DB11D9" w:rsidRDefault="003B1AF3" w14:paraId="0092932F" w14:textId="1652156C">
            <w:pPr>
              <w:pStyle w:val="Sourcenotes"/>
            </w:pPr>
            <w:r>
              <w:t xml:space="preserve">Source: Information obtained in the country mission in </w:t>
            </w:r>
            <w:r w:rsidR="00DB11D9">
              <w:t>March</w:t>
            </w:r>
            <w:r>
              <w:t xml:space="preserve"> (Spain)</w:t>
            </w:r>
            <w:r w:rsidR="00DB11D9">
              <w:t xml:space="preserve">, </w:t>
            </w:r>
            <w:r>
              <w:t>May (Latvia)</w:t>
            </w:r>
            <w:r w:rsidR="00DB11D9">
              <w:t xml:space="preserve"> and </w:t>
            </w:r>
            <w:r w:rsidR="006E0A31">
              <w:t xml:space="preserve">October </w:t>
            </w:r>
            <w:r w:rsidR="00DB11D9">
              <w:t>(Lithuania) 2025</w:t>
            </w:r>
            <w:r>
              <w:t xml:space="preserve">; </w:t>
            </w:r>
            <w:sdt>
              <w:sdtPr>
                <w:id w:val="-1275550238"/>
                <w:citation/>
              </w:sdtPr>
              <w:sdtEndPr/>
              <w:sdtContent>
                <w:r>
                  <w:fldChar w:fldCharType="begin"/>
                </w:r>
                <w:r>
                  <w:instrText xml:space="preserve"> CITATION Mend_H4ItoxWt1zaypxDr2hkIqQ \l 2057 </w:instrText>
                </w:r>
                <w:r>
                  <w:fldChar w:fldCharType="separate"/>
                </w:r>
                <w:r w:rsidRPr="00F86F21" w:rsidR="00F86F21">
                  <w:rPr>
                    <w:noProof/>
                  </w:rPr>
                  <w:t>(</w:t>
                </w:r>
                <w:bookmarkStart w:name="Mend_H4ItoxWt1zaypxDr2hkIqQ_12" w:id="44"/>
                <w:r w:rsidRPr="00F86F21" w:rsidR="00F86F21">
                  <w:rPr>
                    <w:noProof/>
                  </w:rPr>
                  <w:t>State Revenue Service, 2025</w:t>
                </w:r>
                <w:r w:rsidRPr="00F86F21" w:rsidR="00F86F21">
                  <w:rPr>
                    <w:noProof/>
                    <w:vertAlign w:val="subscript"/>
                  </w:rPr>
                  <w:t>[12]</w:t>
                </w:r>
                <w:r w:rsidRPr="00F86F21" w:rsidR="00F86F21">
                  <w:rPr>
                    <w:noProof/>
                  </w:rPr>
                  <w:t>)</w:t>
                </w:r>
                <w:bookmarkEnd w:id="44"/>
                <w:r>
                  <w:fldChar w:fldCharType="end"/>
                </w:r>
              </w:sdtContent>
            </w:sdt>
            <w:r>
              <w:t>.</w:t>
            </w:r>
          </w:p>
        </w:tc>
      </w:tr>
    </w:tbl>
    <w:p w:rsidRPr="00AC316B" w:rsidR="00653A8B" w:rsidP="00653A8B" w:rsidRDefault="00653A8B" w14:paraId="3E1A7FFC" w14:textId="087B77C0">
      <w:pPr>
        <w:pStyle w:val="Heading4"/>
        <w:rPr>
          <w:b/>
        </w:rPr>
      </w:pPr>
      <w:r>
        <w:t xml:space="preserve">Proactive reminders to citizens </w:t>
      </w:r>
    </w:p>
    <w:p w:rsidR="007A3BE2" w:rsidP="008E3481" w:rsidRDefault="0070037B" w14:paraId="4080E3BC" w14:textId="303433F9">
      <w:pPr>
        <w:pStyle w:val="Para0"/>
        <w:rPr>
          <w:bCs/>
        </w:rPr>
      </w:pPr>
      <w:r w:rsidRPr="00832509">
        <w:rPr>
          <w:b/>
        </w:rPr>
        <w:t xml:space="preserve">Proactiveness of services can </w:t>
      </w:r>
      <w:r w:rsidRPr="00832509" w:rsidR="002373EA">
        <w:rPr>
          <w:b/>
        </w:rPr>
        <w:t>also relate to informing citizens of their rights, duties, obligations prior to them having to access the services.</w:t>
      </w:r>
      <w:r w:rsidR="002373EA">
        <w:rPr>
          <w:bCs/>
        </w:rPr>
        <w:t xml:space="preserve"> </w:t>
      </w:r>
      <w:r w:rsidR="00DB11D9">
        <w:rPr>
          <w:bCs/>
        </w:rPr>
        <w:t>In Croatia</w:t>
      </w:r>
      <w:r w:rsidR="00B00C20">
        <w:rPr>
          <w:bCs/>
        </w:rPr>
        <w:t xml:space="preserve"> (</w:t>
      </w:r>
      <w:r w:rsidR="00B00C20">
        <w:rPr>
          <w:bCs/>
        </w:rPr>
        <w:fldChar w:fldCharType="begin"/>
      </w:r>
      <w:r w:rsidR="00B00C20">
        <w:rPr>
          <w:bCs/>
        </w:rPr>
        <w:instrText xml:space="preserve"> REF _Ref215224381 \h </w:instrText>
      </w:r>
      <w:r w:rsidR="00B00C20">
        <w:rPr>
          <w:bCs/>
        </w:rPr>
      </w:r>
      <w:r w:rsidR="00B00C20">
        <w:rPr>
          <w:bCs/>
        </w:rPr>
        <w:fldChar w:fldCharType="separate"/>
      </w:r>
      <w:r w:rsidRPr="00B44A50" w:rsidR="00543B3D">
        <w:t>Box</w:t>
      </w:r>
      <w:r w:rsidR="00543B3D">
        <w:t> </w:t>
      </w:r>
      <w:r w:rsidR="00543B3D">
        <w:rPr>
          <w:noProof/>
        </w:rPr>
        <w:t>2</w:t>
      </w:r>
      <w:r w:rsidR="00543B3D">
        <w:t>.</w:t>
      </w:r>
      <w:r w:rsidR="00543B3D">
        <w:rPr>
          <w:noProof/>
        </w:rPr>
        <w:t>8</w:t>
      </w:r>
      <w:r w:rsidR="00B00C20">
        <w:rPr>
          <w:bCs/>
        </w:rPr>
        <w:fldChar w:fldCharType="end"/>
      </w:r>
      <w:r w:rsidR="00B00C20">
        <w:rPr>
          <w:bCs/>
        </w:rPr>
        <w:t>)</w:t>
      </w:r>
      <w:r w:rsidR="00DB11D9">
        <w:rPr>
          <w:bCs/>
        </w:rPr>
        <w:t xml:space="preserve">, citizens are informed of the </w:t>
      </w:r>
      <w:r w:rsidR="004F6574">
        <w:rPr>
          <w:bCs/>
        </w:rPr>
        <w:t xml:space="preserve">imminent expiration of their driving licence in order to encourage them to undertake a renewal request.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4F6574" w14:paraId="5CEBD743"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4F6574" w:rsidRDefault="00C5131C" w14:paraId="0CBE1D05" w14:textId="2135A1AD">
            <w:pPr>
              <w:pStyle w:val="Caption"/>
            </w:pPr>
            <w:bookmarkStart w:name="_Ref215224381" w:id="45"/>
            <w:bookmarkStart w:name="_Toc223413799" w:id="46"/>
            <w:r w:rsidRPr="00EF798A">
              <w:rPr>
                <w:noProof/>
              </w:rPr>
              <w:drawing>
                <wp:anchor distT="0" distB="0" distL="114300" distR="114300" simplePos="0" relativeHeight="251658265" behindDoc="1" locked="0" layoutInCell="1" allowOverlap="1" wp14:anchorId="4E4C9478" wp14:editId="5F01C3B7">
                  <wp:simplePos x="0" y="0"/>
                  <wp:positionH relativeFrom="column">
                    <wp:posOffset>4830494</wp:posOffset>
                  </wp:positionH>
                  <wp:positionV relativeFrom="paragraph">
                    <wp:posOffset>72244</wp:posOffset>
                  </wp:positionV>
                  <wp:extent cx="879475" cy="439420"/>
                  <wp:effectExtent l="0" t="0" r="0" b="0"/>
                  <wp:wrapTight wrapText="bothSides">
                    <wp:wrapPolygon edited="0">
                      <wp:start x="0" y="0"/>
                      <wp:lineTo x="0" y="20601"/>
                      <wp:lineTo x="21054" y="20601"/>
                      <wp:lineTo x="21054" y="0"/>
                      <wp:lineTo x="0" y="0"/>
                    </wp:wrapPolygon>
                  </wp:wrapTight>
                  <wp:docPr id="423935064" name="Picture 1" descr="A flag with a red white and blue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91042" name="Picture 1" descr="A flag with a red white and blue flag&#10;&#10;AI-generated content may be incorrec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79475" cy="439420"/>
                          </a:xfrm>
                          <a:prstGeom prst="rect">
                            <a:avLst/>
                          </a:prstGeom>
                        </pic:spPr>
                      </pic:pic>
                    </a:graphicData>
                  </a:graphic>
                  <wp14:sizeRelH relativeFrom="margin">
                    <wp14:pctWidth>0</wp14:pctWidth>
                  </wp14:sizeRelH>
                  <wp14:sizeRelV relativeFrom="margin">
                    <wp14:pctHeight>0</wp14:pctHeight>
                  </wp14:sizeRelV>
                </wp:anchor>
              </w:drawing>
            </w:r>
            <w:r w:rsidR="004F6574">
              <w:rPr>
                <w:noProof/>
              </w:rPr>
              <w:drawing>
                <wp:anchor distT="0" distB="0" distL="114300" distR="114300" simplePos="0" relativeHeight="251658242" behindDoc="1" locked="0" layoutInCell="1" allowOverlap="1" wp14:anchorId="641BAD94" wp14:editId="55FA95C9">
                  <wp:simplePos x="0" y="0"/>
                  <wp:positionH relativeFrom="column">
                    <wp:posOffset>-86897</wp:posOffset>
                  </wp:positionH>
                  <wp:positionV relativeFrom="paragraph">
                    <wp:posOffset>17047</wp:posOffset>
                  </wp:positionV>
                  <wp:extent cx="914400" cy="914400"/>
                  <wp:effectExtent l="0" t="0" r="0" b="0"/>
                  <wp:wrapTight wrapText="bothSides">
                    <wp:wrapPolygon edited="0">
                      <wp:start x="9000" y="450"/>
                      <wp:lineTo x="2250" y="4050"/>
                      <wp:lineTo x="4950" y="8550"/>
                      <wp:lineTo x="1350" y="20250"/>
                      <wp:lineTo x="19800" y="20250"/>
                      <wp:lineTo x="18000" y="15750"/>
                      <wp:lineTo x="16200" y="8550"/>
                      <wp:lineTo x="18450" y="4050"/>
                      <wp:lineTo x="11700" y="450"/>
                      <wp:lineTo x="9000" y="450"/>
                    </wp:wrapPolygon>
                  </wp:wrapTight>
                  <wp:docPr id="1668986921" name="Graphic 2" descr="Fork In Ro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986921" name="Graphic 1668986921" descr="Fork In Road with solid fill"/>
                          <pic:cNvPicPr/>
                        </pic:nvPicPr>
                        <pic:blipFill>
                          <a:blip r:embed="rId38">
                            <a:extLst>
                              <a:ext uri="{96DAC541-7B7A-43D3-8B79-37D633B846F1}">
                                <asvg:svgBlip xmlns:asvg="http://schemas.microsoft.com/office/drawing/2016/SVG/main" r:embed="rId39"/>
                              </a:ext>
                            </a:extLst>
                          </a:blip>
                          <a:stretch>
                            <a:fillRect/>
                          </a:stretch>
                        </pic:blipFill>
                        <pic:spPr>
                          <a:xfrm>
                            <a:off x="0" y="0"/>
                            <a:ext cx="914400" cy="914400"/>
                          </a:xfrm>
                          <a:prstGeom prst="rect">
                            <a:avLst/>
                          </a:prstGeom>
                        </pic:spPr>
                      </pic:pic>
                    </a:graphicData>
                  </a:graphic>
                </wp:anchor>
              </w:drawing>
            </w:r>
            <w:r w:rsidRPr="00B44A50" w:rsidR="004F6574">
              <w:t>Box</w:t>
            </w:r>
            <w:r w:rsidR="004F6574">
              <w:t> </w:t>
            </w:r>
            <w:r w:rsidR="004F6574">
              <w:rPr>
                <w:noProof/>
              </w:rPr>
              <w:fldChar w:fldCharType="begin"/>
            </w:r>
            <w:r w:rsidR="004F6574">
              <w:rPr>
                <w:noProof/>
              </w:rPr>
              <w:instrText xml:space="preserve"> STYLEREF 1 \s </w:instrText>
            </w:r>
            <w:r w:rsidR="004F6574">
              <w:rPr>
                <w:noProof/>
              </w:rPr>
              <w:fldChar w:fldCharType="separate"/>
            </w:r>
            <w:r w:rsidR="00543B3D">
              <w:rPr>
                <w:noProof/>
              </w:rPr>
              <w:t>2</w:t>
            </w:r>
            <w:r w:rsidR="004F6574">
              <w:rPr>
                <w:noProof/>
              </w:rPr>
              <w:fldChar w:fldCharType="end"/>
            </w:r>
            <w:r w:rsidR="004F6574">
              <w:t>.</w:t>
            </w:r>
            <w:r w:rsidR="004F6574">
              <w:rPr>
                <w:noProof/>
              </w:rPr>
              <w:fldChar w:fldCharType="begin"/>
            </w:r>
            <w:r w:rsidR="004F6574">
              <w:rPr>
                <w:noProof/>
              </w:rPr>
              <w:instrText xml:space="preserve"> SEQ Box \* ARABIC \s 1 </w:instrText>
            </w:r>
            <w:r w:rsidR="004F6574">
              <w:rPr>
                <w:noProof/>
              </w:rPr>
              <w:fldChar w:fldCharType="separate"/>
            </w:r>
            <w:r w:rsidR="00543B3D">
              <w:rPr>
                <w:noProof/>
              </w:rPr>
              <w:t>8</w:t>
            </w:r>
            <w:r w:rsidR="004F6574">
              <w:rPr>
                <w:noProof/>
              </w:rPr>
              <w:fldChar w:fldCharType="end"/>
            </w:r>
            <w:bookmarkEnd w:id="45"/>
            <w:r w:rsidR="004F6574">
              <w:t xml:space="preserve">. </w:t>
            </w:r>
            <w:r w:rsidR="00A40062">
              <w:t xml:space="preserve">Croatia - </w:t>
            </w:r>
            <w:r w:rsidR="004F6574">
              <w:t>Proactive information provision to citizens</w:t>
            </w:r>
            <w:bookmarkEnd w:id="46"/>
            <w:r w:rsidR="004F6574">
              <w:t xml:space="preserve"> </w:t>
            </w:r>
          </w:p>
          <w:p w:rsidR="004F6574" w:rsidP="004F6574" w:rsidRDefault="00144ADC" w14:paraId="32AFD854" w14:textId="6BD7A927">
            <w:pPr>
              <w:pStyle w:val="Para0"/>
            </w:pPr>
            <w:r>
              <w:t>An e-citizens (</w:t>
            </w:r>
            <w:r>
              <w:rPr>
                <w:i/>
                <w:iCs/>
              </w:rPr>
              <w:t>e-Gradani)</w:t>
            </w:r>
            <w:r>
              <w:t xml:space="preserve"> portal is </w:t>
            </w:r>
            <w:r w:rsidR="000B44F4">
              <w:t>a central portal available in Croatia for accessing public services.</w:t>
            </w:r>
            <w:r w:rsidR="00D9768D">
              <w:t xml:space="preserve"> The portal provides citizens with access to </w:t>
            </w:r>
            <w:r w:rsidR="00CB652D">
              <w:t>over 100 services including health appointments, registration of residence and delivery of official documents.</w:t>
            </w:r>
            <w:r w:rsidR="000B44F4">
              <w:t xml:space="preserve"> Through the use of an activated digital ID</w:t>
            </w:r>
            <w:r w:rsidR="00D9768D">
              <w:t>, citizens can submit requests for issuing, renewing or replacing a driving licence online.</w:t>
            </w:r>
            <w:r w:rsidR="00CB652D">
              <w:t xml:space="preserve"> For citizens who use the e-citizens portal, an automatic notification is provided to them 30 days before the expiration of their driving licence in order to remind them to begin the process of renewal. </w:t>
            </w:r>
          </w:p>
          <w:p w:rsidRPr="00775FF9" w:rsidR="004F6574" w:rsidRDefault="004F6574" w14:paraId="00411C6B" w14:textId="5C9712DC">
            <w:pPr>
              <w:pStyle w:val="Sourcenotes"/>
            </w:pPr>
            <w:r>
              <w:t xml:space="preserve">Source: </w:t>
            </w:r>
            <w:r w:rsidR="00653A8B">
              <w:t>Information obtained in the TSI country mission to Croatia in May 2025</w:t>
            </w:r>
            <w:r w:rsidR="00197646">
              <w:t>.</w:t>
            </w:r>
          </w:p>
        </w:tc>
      </w:tr>
    </w:tbl>
    <w:p w:rsidR="00653A8B" w:rsidRDefault="00B00C20" w14:paraId="3AE1FB7E" w14:textId="205DF741">
      <w:pPr>
        <w:pStyle w:val="Heading4"/>
        <w:numPr>
          <w:ilvl w:val="0"/>
          <w:numId w:val="0"/>
        </w:numPr>
      </w:pPr>
      <w:r>
        <w:t xml:space="preserve">Proactive issuance of benefits </w:t>
      </w:r>
      <w:r w:rsidR="002C53FC">
        <w:t>and documents</w:t>
      </w:r>
    </w:p>
    <w:p w:rsidR="00B00C20" w:rsidP="00600FF5" w:rsidRDefault="00600FF5" w14:paraId="1EF1FCDA" w14:textId="2B26501B">
      <w:pPr>
        <w:pStyle w:val="Para"/>
        <w:numPr>
          <w:ilvl w:val="0"/>
          <w:numId w:val="0"/>
        </w:numPr>
      </w:pPr>
      <w:r w:rsidRPr="00832509">
        <w:rPr>
          <w:b/>
          <w:bCs/>
        </w:rPr>
        <w:t>Proactive services can also relate to ensuring the automatic eligibility of benefits.</w:t>
      </w:r>
      <w:r>
        <w:t xml:space="preserve"> </w:t>
      </w:r>
      <w:r w:rsidR="00CB4AD0">
        <w:t>For instance, t</w:t>
      </w:r>
      <w:r>
        <w:t>hrough the use of data sharing mechanisms that enable integrated digital systems, child benefit allowances can be automatically distributed to parents in Estonia upon the registration of birth of their child</w:t>
      </w:r>
      <w:r w:rsidR="004E3162">
        <w:t>, with birth registration also automatically issued in Slovenia</w:t>
      </w:r>
      <w:r w:rsidR="00D34AFD">
        <w:t xml:space="preserve"> (</w:t>
      </w:r>
      <w:r w:rsidR="00D34AFD">
        <w:fldChar w:fldCharType="begin"/>
      </w:r>
      <w:r w:rsidR="00D34AFD">
        <w:instrText xml:space="preserve"> REF _Ref215224708 \h </w:instrText>
      </w:r>
      <w:r w:rsidR="00D34AFD">
        <w:fldChar w:fldCharType="separate"/>
      </w:r>
      <w:r w:rsidRPr="00B44A50" w:rsidR="00543B3D">
        <w:t>Box</w:t>
      </w:r>
      <w:r w:rsidR="00543B3D">
        <w:t> </w:t>
      </w:r>
      <w:r w:rsidR="00543B3D">
        <w:rPr>
          <w:noProof/>
        </w:rPr>
        <w:t>2</w:t>
      </w:r>
      <w:r w:rsidR="00543B3D">
        <w:t>.</w:t>
      </w:r>
      <w:r w:rsidR="00543B3D">
        <w:rPr>
          <w:noProof/>
        </w:rPr>
        <w:t>9</w:t>
      </w:r>
      <w:r w:rsidR="00D34AFD">
        <w:fldChar w:fldCharType="end"/>
      </w:r>
      <w:r w:rsidR="00D34AFD">
        <w:t>)</w:t>
      </w:r>
      <w:r>
        <w:t xml:space="preserve">. </w:t>
      </w:r>
    </w:p>
    <w:p w:rsidR="000A7723" w:rsidP="000A7723" w:rsidRDefault="000A7723" w14:paraId="2A0C7AE7" w14:textId="77777777">
      <w:pPr>
        <w:pStyle w:val="Para0"/>
      </w:pPr>
      <w:r w:rsidRPr="00832509">
        <w:rPr>
          <w:b/>
          <w:bCs/>
        </w:rPr>
        <w:t>While countries are implementing specific approaches to deliver proactive services, challenges arise.</w:t>
      </w:r>
      <w:r>
        <w:t xml:space="preserve"> The TSI Country Missions identified that the main bottleneck to the delivery of proactive services arise from the absence of interoperability of data across public administrations, service owners and services providers at central and local levels. The </w:t>
      </w:r>
      <w:r w:rsidRPr="00832509">
        <w:rPr>
          <w:b/>
          <w:bCs/>
        </w:rPr>
        <w:t>lack of data availability and interoperability</w:t>
      </w:r>
      <w:r>
        <w:t xml:space="preserve"> creates an obstacle for public administrations to be proactive rather than reactive in the delivery of services to citizens.  </w:t>
      </w:r>
    </w:p>
    <w:p w:rsidR="000A7723" w:rsidP="00600FF5" w:rsidRDefault="000A7723" w14:paraId="647A50DE" w14:textId="77777777">
      <w:pPr>
        <w:pStyle w:val="Para"/>
        <w:numPr>
          <w:ilvl w:val="0"/>
          <w:numId w:val="0"/>
        </w:numPr>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2C53FC" w14:paraId="6F631309"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2C53FC" w:rsidRDefault="002C53FC" w14:paraId="733E34CD" w14:textId="31FDB717">
            <w:pPr>
              <w:pStyle w:val="Caption"/>
            </w:pPr>
            <w:bookmarkStart w:name="_Ref215224708" w:id="47"/>
            <w:bookmarkStart w:name="_Toc223413800" w:id="48"/>
            <w:r>
              <w:rPr>
                <w:noProof/>
              </w:rPr>
              <w:drawing>
                <wp:anchor distT="0" distB="0" distL="114300" distR="114300" simplePos="0" relativeHeight="251658267" behindDoc="0" locked="0" layoutInCell="1" allowOverlap="1" wp14:anchorId="67B9E817" wp14:editId="3BEFA148">
                  <wp:simplePos x="0" y="0"/>
                  <wp:positionH relativeFrom="column">
                    <wp:posOffset>-6350</wp:posOffset>
                  </wp:positionH>
                  <wp:positionV relativeFrom="paragraph">
                    <wp:posOffset>104677</wp:posOffset>
                  </wp:positionV>
                  <wp:extent cx="914400" cy="914400"/>
                  <wp:effectExtent l="0" t="0" r="0" b="0"/>
                  <wp:wrapSquare wrapText="bothSides"/>
                  <wp:docPr id="1050492471" name="Graphic 3" descr="Stroll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492471" name="Graphic 1050492471" descr="Stroller with solid fill"/>
                          <pic:cNvPicPr/>
                        </pic:nvPicPr>
                        <pic:blipFill>
                          <a:blip r:embed="rId40">
                            <a:extLst>
                              <a:ext uri="{96DAC541-7B7A-43D3-8B79-37D633B846F1}">
                                <asvg:svgBlip xmlns:asvg="http://schemas.microsoft.com/office/drawing/2016/SVG/main" r:embed="rId41"/>
                              </a:ext>
                            </a:extLst>
                          </a:blip>
                          <a:stretch>
                            <a:fillRect/>
                          </a:stretch>
                        </pic:blipFill>
                        <pic:spPr>
                          <a:xfrm>
                            <a:off x="0" y="0"/>
                            <a:ext cx="914400" cy="914400"/>
                          </a:xfrm>
                          <a:prstGeom prst="rect">
                            <a:avLst/>
                          </a:prstGeom>
                        </pic:spPr>
                      </pic:pic>
                    </a:graphicData>
                  </a:graphic>
                </wp:anchor>
              </w:drawing>
            </w:r>
            <w:r>
              <w:rPr>
                <w:noProof/>
              </w:rPr>
              <w:drawing>
                <wp:anchor distT="0" distB="0" distL="114300" distR="114300" simplePos="0" relativeHeight="251658266" behindDoc="1" locked="0" layoutInCell="1" allowOverlap="1" wp14:anchorId="79136D19" wp14:editId="06280481">
                  <wp:simplePos x="0" y="0"/>
                  <wp:positionH relativeFrom="column">
                    <wp:posOffset>4762598</wp:posOffset>
                  </wp:positionH>
                  <wp:positionV relativeFrom="paragraph">
                    <wp:posOffset>57150</wp:posOffset>
                  </wp:positionV>
                  <wp:extent cx="1009015" cy="641350"/>
                  <wp:effectExtent l="0" t="0" r="635" b="6350"/>
                  <wp:wrapTight wrapText="bothSides">
                    <wp:wrapPolygon edited="0">
                      <wp:start x="0" y="0"/>
                      <wp:lineTo x="0" y="21172"/>
                      <wp:lineTo x="21206" y="21172"/>
                      <wp:lineTo x="21206" y="0"/>
                      <wp:lineTo x="0" y="0"/>
                    </wp:wrapPolygon>
                  </wp:wrapTight>
                  <wp:docPr id="386576374" name="Picture 1" descr="A blue and black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12193" name="Picture 1" descr="A blue and black flag&#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09015" cy="641350"/>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9</w:t>
            </w:r>
            <w:r>
              <w:rPr>
                <w:noProof/>
              </w:rPr>
              <w:fldChar w:fldCharType="end"/>
            </w:r>
            <w:bookmarkEnd w:id="47"/>
            <w:r>
              <w:t xml:space="preserve">. </w:t>
            </w:r>
            <w:r w:rsidR="00A40062">
              <w:t>Estonia</w:t>
            </w:r>
            <w:r w:rsidR="006E4B22">
              <w:t xml:space="preserve"> and Slovenia</w:t>
            </w:r>
            <w:r w:rsidR="00A40062">
              <w:t xml:space="preserve"> - </w:t>
            </w:r>
            <w:r>
              <w:t>Proactive issuance of benefits and documents for the Life Event: I had a baby</w:t>
            </w:r>
            <w:bookmarkEnd w:id="48"/>
            <w:r>
              <w:t xml:space="preserve"> </w:t>
            </w:r>
          </w:p>
          <w:p w:rsidR="002C53FC" w:rsidRDefault="002C53FC" w14:paraId="2BC16887" w14:textId="6E3964E7">
            <w:pPr>
              <w:pStyle w:val="Para0"/>
            </w:pPr>
            <w:r>
              <w:t>To facilitate access to public services when having a baby, Estonia has introduced the delivery of proactive services for the Life Event: I had a baby/adopted a child. Upon the birth of the child</w:t>
            </w:r>
            <w:r w:rsidR="00D64DB2">
              <w:t xml:space="preserve"> and the registration of the child’s birth,</w:t>
            </w:r>
            <w:r>
              <w:t xml:space="preserve"> </w:t>
            </w:r>
            <w:r w:rsidR="00D64DB2">
              <w:t xml:space="preserve">an automatic ID code for the child is processed without parents needing to complete additional documentation. Moreover, child support is automatically issued upon registration of the child’s birth, with parents </w:t>
            </w:r>
            <w:r w:rsidR="00D34AFD">
              <w:t xml:space="preserve">not having to complete any additional requests. </w:t>
            </w:r>
          </w:p>
          <w:p w:rsidR="002C53FC" w:rsidRDefault="004E3162" w14:paraId="3C4C8574" w14:textId="6FD9E9EB">
            <w:pPr>
              <w:pStyle w:val="Sourcenotes"/>
            </w:pPr>
            <w:r w:rsidRPr="00E30FFF">
              <w:rPr>
                <w:noProof/>
              </w:rPr>
              <w:drawing>
                <wp:anchor distT="0" distB="0" distL="114300" distR="114300" simplePos="0" relativeHeight="251662401" behindDoc="1" locked="0" layoutInCell="1" allowOverlap="1" wp14:anchorId="22D93900" wp14:editId="6B79A44A">
                  <wp:simplePos x="0" y="0"/>
                  <wp:positionH relativeFrom="column">
                    <wp:posOffset>4718050</wp:posOffset>
                  </wp:positionH>
                  <wp:positionV relativeFrom="paragraph">
                    <wp:posOffset>351790</wp:posOffset>
                  </wp:positionV>
                  <wp:extent cx="983615" cy="491490"/>
                  <wp:effectExtent l="0" t="0" r="6985" b="3810"/>
                  <wp:wrapTight wrapText="bothSides">
                    <wp:wrapPolygon edited="0">
                      <wp:start x="0" y="0"/>
                      <wp:lineTo x="0" y="20930"/>
                      <wp:lineTo x="21335" y="20930"/>
                      <wp:lineTo x="21335" y="0"/>
                      <wp:lineTo x="0" y="0"/>
                    </wp:wrapPolygon>
                  </wp:wrapTight>
                  <wp:docPr id="147958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173809"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83615" cy="491490"/>
                          </a:xfrm>
                          <a:prstGeom prst="rect">
                            <a:avLst/>
                          </a:prstGeom>
                        </pic:spPr>
                      </pic:pic>
                    </a:graphicData>
                  </a:graphic>
                  <wp14:sizeRelH relativeFrom="margin">
                    <wp14:pctWidth>0</wp14:pctWidth>
                  </wp14:sizeRelH>
                  <wp14:sizeRelV relativeFrom="margin">
                    <wp14:pctHeight>0</wp14:pctHeight>
                  </wp14:sizeRelV>
                </wp:anchor>
              </w:drawing>
            </w:r>
            <w:r w:rsidR="00D34AFD">
              <w:t>Source: Information obtained in the TSI country mission to Estonia in October 2025</w:t>
            </w:r>
            <w:r w:rsidR="00197646">
              <w:t>.</w:t>
            </w:r>
          </w:p>
          <w:p w:rsidR="006E4B22" w:rsidP="00677E40" w:rsidRDefault="006E4B22" w14:paraId="4F76D849" w14:textId="591759B9">
            <w:pPr>
              <w:pStyle w:val="Para0"/>
              <w:rPr>
                <w:b/>
                <w:bCs/>
              </w:rPr>
            </w:pPr>
            <w:r w:rsidRPr="00677E40">
              <w:rPr>
                <w:b/>
                <w:bCs/>
              </w:rPr>
              <w:t xml:space="preserve">Slovenia </w:t>
            </w:r>
            <w:r w:rsidRPr="00677E40" w:rsidR="00677E40">
              <w:rPr>
                <w:b/>
                <w:bCs/>
              </w:rPr>
              <w:t>–</w:t>
            </w:r>
            <w:r w:rsidRPr="00677E40">
              <w:rPr>
                <w:b/>
                <w:bCs/>
              </w:rPr>
              <w:t xml:space="preserve"> </w:t>
            </w:r>
            <w:r w:rsidRPr="00677E40" w:rsidR="00677E40">
              <w:rPr>
                <w:b/>
                <w:bCs/>
              </w:rPr>
              <w:t xml:space="preserve">Digitalisation of birth registration </w:t>
            </w:r>
          </w:p>
          <w:p w:rsidRPr="00F87FE4" w:rsidR="00F87FE4" w:rsidP="00F87FE4" w:rsidRDefault="00361570" w14:paraId="156B3E78" w14:textId="5023C834">
            <w:pPr>
              <w:pStyle w:val="Para0"/>
              <w:rPr>
                <w:lang w:val="en-US"/>
              </w:rPr>
            </w:pPr>
            <w:r>
              <w:t xml:space="preserve">Birth registration in Slovenia has been digitalised. </w:t>
            </w:r>
            <w:r w:rsidR="00985D5A">
              <w:t xml:space="preserve">All 14 Slovenian </w:t>
            </w:r>
            <w:r w:rsidR="00F47868">
              <w:t xml:space="preserve">maternity hospitals are </w:t>
            </w:r>
            <w:r w:rsidR="002B55DE">
              <w:t xml:space="preserve">now included in the electronic birth registration system. </w:t>
            </w:r>
            <w:r w:rsidRPr="00F87FE4" w:rsidR="00F87FE4">
              <w:rPr>
                <w:lang w:val="en-US"/>
              </w:rPr>
              <w:t>Electronic birth registration includes the assignment of a unique personal identification number (EMŠO) in the central population register, registration of the birth in the birth register, and registration of the newborn's residence in the population register.</w:t>
            </w:r>
          </w:p>
          <w:p w:rsidRPr="00F87FE4" w:rsidR="00F87FE4" w:rsidP="00F87FE4" w:rsidRDefault="00F87FE4" w14:paraId="4E483ECF" w14:textId="77777777">
            <w:pPr>
              <w:pStyle w:val="Para0"/>
              <w:rPr>
                <w:lang w:val="en-US"/>
              </w:rPr>
            </w:pPr>
            <w:r w:rsidRPr="00F87FE4">
              <w:rPr>
                <w:lang w:val="en-US"/>
              </w:rPr>
              <w:t>The aim of introducing the system is to assign a unique personal identification number (EMŠO) to newborns immediately after birth, i.e. already in the maternity hospital, and to electronically register the birth in the civil registry. The e-birth system enables immediate communication and electronic data exchange between information systems in hospitals (maternity wards) and two registers – the central population register and the civil registry.</w:t>
            </w:r>
          </w:p>
          <w:p w:rsidRPr="00F87FE4" w:rsidR="00F87FE4" w:rsidP="00F87FE4" w:rsidRDefault="00F87FE4" w14:paraId="449E7466" w14:textId="07C45FC4">
            <w:pPr>
              <w:pStyle w:val="Para0"/>
              <w:rPr>
                <w:lang w:val="en-US"/>
              </w:rPr>
            </w:pPr>
            <w:r w:rsidRPr="00F87FE4">
              <w:rPr>
                <w:lang w:val="en-US"/>
              </w:rPr>
              <w:t>The e-birth system enables authori</w:t>
            </w:r>
            <w:r w:rsidR="00FE5E6C">
              <w:rPr>
                <w:lang w:val="en-US"/>
              </w:rPr>
              <w:t>s</w:t>
            </w:r>
            <w:r w:rsidRPr="00F87FE4">
              <w:rPr>
                <w:lang w:val="en-US"/>
              </w:rPr>
              <w:t>ed persons (administrative staff or other employees) in hospitals (maternity wards) to obtain the EMŠO (personal identification number) for a newborn immediately after confirming the data on the birth of the child from the central population register</w:t>
            </w:r>
            <w:r w:rsidR="00B234C6">
              <w:rPr>
                <w:lang w:val="en-US"/>
              </w:rPr>
              <w:t>.</w:t>
            </w:r>
            <w:r w:rsidRPr="00F87FE4">
              <w:rPr>
                <w:lang w:val="en-US"/>
              </w:rPr>
              <w:t xml:space="preserve"> At the same time, they also obtain other data from the central population register database that is necessary to complete their records and, indirectly, for the health statistics they maintain.</w:t>
            </w:r>
          </w:p>
          <w:p w:rsidRPr="00F87FE4" w:rsidR="00F87FE4" w:rsidP="00F87FE4" w:rsidRDefault="00F87FE4" w14:paraId="0DE447CC" w14:textId="335E9821">
            <w:pPr>
              <w:pStyle w:val="Para0"/>
              <w:rPr>
                <w:lang w:val="en-US"/>
              </w:rPr>
            </w:pPr>
            <w:r w:rsidRPr="00F87FE4">
              <w:rPr>
                <w:lang w:val="en-US"/>
              </w:rPr>
              <w:t xml:space="preserve">Electronic birth registration brings </w:t>
            </w:r>
            <w:r w:rsidR="00FE5E6C">
              <w:rPr>
                <w:lang w:val="en-US"/>
              </w:rPr>
              <w:t>several</w:t>
            </w:r>
            <w:r w:rsidRPr="00F87FE4">
              <w:rPr>
                <w:lang w:val="en-US"/>
              </w:rPr>
              <w:t xml:space="preserve"> advantages for the work of maternity wards, administrative units, and other public administration bodies, which obtain data on newborns in less time than in the past. It also benefits parents and therefore represents a step closer to user-friendly public administration, as parents are spared a trip to the administrative unit, and the time needed to obtain extracts from the birth register, health insurance cards, tax numbers, and other documents for newborns is reduced.</w:t>
            </w:r>
          </w:p>
          <w:p w:rsidR="00F87FE4" w:rsidP="00F87FE4" w:rsidRDefault="00F87FE4" w14:paraId="09A30F51" w14:textId="77777777">
            <w:pPr>
              <w:pStyle w:val="Para0"/>
              <w:rPr>
                <w:lang w:val="en-US"/>
              </w:rPr>
            </w:pPr>
            <w:r w:rsidRPr="00F87FE4">
              <w:rPr>
                <w:lang w:val="en-US"/>
              </w:rPr>
              <w:t>The introduction of electronic birth registration has also improved the quality and timeliness of data for health statistics and analyses, administrative internal affairs, social work centers, the Health Insurance Institute, and all areas where data on newborns is needed as soon as possible after birth.</w:t>
            </w:r>
          </w:p>
          <w:p w:rsidRPr="00F87FE4" w:rsidR="00C274F7" w:rsidP="00F87FE4" w:rsidRDefault="00C274F7" w14:paraId="2F739CC9" w14:textId="139A92C2">
            <w:pPr>
              <w:pStyle w:val="Para0"/>
              <w:rPr>
                <w:lang w:val="en-US"/>
              </w:rPr>
            </w:pPr>
            <w:r>
              <w:rPr>
                <w:lang w:val="en-US"/>
              </w:rPr>
              <w:t xml:space="preserve">Furthermore, automation is most advanced in Slovenia in the administration of social benefits, particularly for the renewal of social benefits. In relation to Child Allowance, for example, after the initial application, annual renewals are processed automatically by the Centres for Social Work without the need for a new application. Adjustments to the child allowance, based for example on income thresholds and benefit amounts are updated automatically. For students, renewals for state scholarships are also handled automatically without the need for new applications. </w:t>
            </w:r>
          </w:p>
          <w:p w:rsidRPr="00775FF9" w:rsidR="006E4B22" w:rsidP="00C274F7" w:rsidRDefault="00C274F7" w14:paraId="2E93990B" w14:textId="20CD66C2">
            <w:pPr>
              <w:pStyle w:val="Sourcenotes"/>
            </w:pPr>
            <w:r w:rsidRPr="00832509">
              <w:t xml:space="preserve">Source: </w:t>
            </w:r>
            <w:sdt>
              <w:sdtPr>
                <w:id w:val="-1195465884"/>
                <w:citation/>
              </w:sdtPr>
              <w:sdtEndPr/>
              <w:sdtContent>
                <w:r w:rsidR="00CB4AD0">
                  <w:fldChar w:fldCharType="begin"/>
                </w:r>
                <w:r w:rsidR="00CB4AD0">
                  <w:rPr>
                    <w:lang w:val="fr-FR"/>
                  </w:rPr>
                  <w:instrText xml:space="preserve"> CITATION Gov241 \l 1036 </w:instrText>
                </w:r>
                <w:r w:rsidR="00CB4AD0">
                  <w:fldChar w:fldCharType="separate"/>
                </w:r>
                <w:r w:rsidRPr="00F86F21" w:rsidR="00F86F21">
                  <w:rPr>
                    <w:noProof/>
                    <w:lang w:val="fr-FR"/>
                  </w:rPr>
                  <w:t>(Government of Slovenia, 2024</w:t>
                </w:r>
                <w:r w:rsidRPr="00F86F21" w:rsidR="00F86F21">
                  <w:rPr>
                    <w:noProof/>
                    <w:vertAlign w:val="subscript"/>
                    <w:lang w:val="fr-FR"/>
                  </w:rPr>
                  <w:t>[13]</w:t>
                </w:r>
                <w:r w:rsidRPr="00F86F21" w:rsidR="00F86F21">
                  <w:rPr>
                    <w:noProof/>
                    <w:lang w:val="fr-FR"/>
                  </w:rPr>
                  <w:t>)</w:t>
                </w:r>
                <w:r w:rsidR="00CB4AD0">
                  <w:fldChar w:fldCharType="end"/>
                </w:r>
              </w:sdtContent>
            </w:sdt>
            <w:r w:rsidR="00CB4AD0">
              <w:t>.</w:t>
            </w:r>
          </w:p>
        </w:tc>
      </w:tr>
    </w:tbl>
    <w:p w:rsidR="004F1B12" w:rsidP="004F1B12" w:rsidRDefault="00AE1712" w14:paraId="23A1A9D6" w14:textId="30FCA03B">
      <w:pPr>
        <w:pStyle w:val="Heading2"/>
        <w:rPr>
          <w:lang w:val="en-US"/>
        </w:rPr>
      </w:pPr>
      <w:bookmarkStart w:name="_Toc223413730" w:id="49"/>
      <w:r>
        <w:rPr>
          <w:lang w:val="en-US"/>
        </w:rPr>
        <w:t xml:space="preserve">Accessible </w:t>
      </w:r>
      <w:r w:rsidR="00C272EF">
        <w:rPr>
          <w:lang w:val="en-US"/>
        </w:rPr>
        <w:t>s</w:t>
      </w:r>
      <w:r>
        <w:rPr>
          <w:lang w:val="en-US"/>
        </w:rPr>
        <w:t xml:space="preserve">ervices: Providing </w:t>
      </w:r>
      <w:r w:rsidR="00C272EF">
        <w:rPr>
          <w:lang w:val="en-US"/>
        </w:rPr>
        <w:t>s</w:t>
      </w:r>
      <w:r>
        <w:rPr>
          <w:lang w:val="en-US"/>
        </w:rPr>
        <w:t xml:space="preserve">ervices to </w:t>
      </w:r>
      <w:r w:rsidR="00C272EF">
        <w:rPr>
          <w:lang w:val="en-US"/>
        </w:rPr>
        <w:t>u</w:t>
      </w:r>
      <w:r>
        <w:rPr>
          <w:lang w:val="en-US"/>
        </w:rPr>
        <w:t>sers through the preferred channel</w:t>
      </w:r>
      <w:bookmarkEnd w:id="49"/>
      <w:r>
        <w:rPr>
          <w:lang w:val="en-US"/>
        </w:rPr>
        <w:t xml:space="preserve"> </w:t>
      </w:r>
      <w:r w:rsidR="008B6753">
        <w:rPr>
          <w:lang w:val="en-US"/>
        </w:rPr>
        <w:t xml:space="preserve"> </w:t>
      </w:r>
    </w:p>
    <w:p w:rsidR="00326780" w:rsidP="00326780" w:rsidRDefault="00326780" w14:paraId="5EFEE9CB" w14:textId="427590AA">
      <w:pPr>
        <w:pStyle w:val="Para"/>
        <w:numPr>
          <w:ilvl w:val="0"/>
          <w:numId w:val="0"/>
        </w:numPr>
      </w:pPr>
      <w:r w:rsidRPr="002953A2">
        <w:rPr>
          <w:b/>
          <w:lang w:val="en-US"/>
        </w:rPr>
        <w:t xml:space="preserve">Ensuring users can access services through </w:t>
      </w:r>
      <w:r w:rsidRPr="002953A2">
        <w:rPr>
          <w:b/>
          <w:bCs/>
          <w:lang w:val="en-US"/>
        </w:rPr>
        <w:t xml:space="preserve">their desired </w:t>
      </w:r>
      <w:r w:rsidRPr="002953A2">
        <w:rPr>
          <w:b/>
          <w:lang w:val="en-US"/>
        </w:rPr>
        <w:t xml:space="preserve">channel is key to </w:t>
      </w:r>
      <w:r w:rsidR="004E3E50">
        <w:rPr>
          <w:b/>
          <w:lang w:val="en-US"/>
        </w:rPr>
        <w:t>ensuring</w:t>
      </w:r>
      <w:r w:rsidRPr="002953A2">
        <w:rPr>
          <w:b/>
          <w:lang w:val="en-US"/>
        </w:rPr>
        <w:t xml:space="preserve"> services are thinking of different user characteristics</w:t>
      </w:r>
      <w:r>
        <w:rPr>
          <w:lang w:val="en-US"/>
        </w:rPr>
        <w:t>. When designing and delivering a service, it is</w:t>
      </w:r>
      <w:r w:rsidRPr="001149C8">
        <w:t xml:space="preserve"> </w:t>
      </w:r>
      <w:r>
        <w:t xml:space="preserve">important to </w:t>
      </w:r>
      <w:r w:rsidRPr="001149C8">
        <w:rPr>
          <w:lang w:val="en-US"/>
        </w:rPr>
        <w:t xml:space="preserve">look beyond simple availability. </w:t>
      </w:r>
      <w:r>
        <w:rPr>
          <w:lang w:val="en-US"/>
        </w:rPr>
        <w:t xml:space="preserve">As emphasised by the </w:t>
      </w:r>
      <w:r w:rsidRPr="00DB7C0C">
        <w:rPr>
          <w:i/>
          <w:iCs/>
          <w:lang w:val="en-US"/>
        </w:rPr>
        <w:t>OECD Recommendation on Human-Centred Public Administrative Services</w:t>
      </w:r>
      <w:r w:rsidRPr="00DB7C0C">
        <w:rPr>
          <w:lang w:val="en-US"/>
        </w:rPr>
        <w:t xml:space="preserve">, the goal must be to ensure the service is findable and usable by people across the widest possible range of user needs, means, personal characteristics, and capabilities within their specific contexts </w:t>
      </w:r>
      <w:sdt>
        <w:sdtPr>
          <w:id w:val="366879194"/>
          <w:citation/>
        </w:sdtPr>
        <w:sdtEndPr/>
        <w:sdtContent>
          <w:r>
            <w:fldChar w:fldCharType="begin"/>
          </w:r>
          <w:r>
            <w:instrText xml:space="preserve"> CITATION Mend_e4sgpgfrFjuOO0phTEtveQ \l 2057 </w:instrText>
          </w:r>
          <w:r>
            <w:fldChar w:fldCharType="separate"/>
          </w:r>
          <w:r w:rsidRPr="00F86F21" w:rsidR="00F86F21">
            <w:rPr>
              <w:noProof/>
            </w:rPr>
            <w:t>(OECD, 2024</w:t>
          </w:r>
          <w:r w:rsidRPr="00F86F21" w:rsidR="00F86F21">
            <w:rPr>
              <w:noProof/>
              <w:vertAlign w:val="subscript"/>
            </w:rPr>
            <w:t>[9]</w:t>
          </w:r>
          <w:r w:rsidRPr="00F86F21" w:rsidR="00F86F21">
            <w:rPr>
              <w:noProof/>
            </w:rPr>
            <w:t>)</w:t>
          </w:r>
          <w:r>
            <w:fldChar w:fldCharType="end"/>
          </w:r>
        </w:sdtContent>
      </w:sdt>
      <w:r>
        <w:t xml:space="preserve">. </w:t>
      </w:r>
    </w:p>
    <w:tbl>
      <w:tblPr>
        <w:tblStyle w:val="OECD"/>
        <w:tblW w:w="0" w:type="auto"/>
        <w:tblLook w:val="04A0" w:firstRow="1" w:lastRow="0" w:firstColumn="1" w:lastColumn="0" w:noHBand="0" w:noVBand="1"/>
      </w:tblPr>
      <w:tblGrid>
        <w:gridCol w:w="9298"/>
      </w:tblGrid>
      <w:tr w:rsidR="005513B0" w14:paraId="32B94057" w14:textId="77777777">
        <w:tc>
          <w:tcPr>
            <w:tcW w:w="9298" w:type="dxa"/>
            <w:shd w:val="clear" w:color="auto" w:fill="244061" w:themeFill="accent1" w:themeFillShade="80"/>
          </w:tcPr>
          <w:p w:rsidRPr="00703A21" w:rsidR="005513B0" w:rsidRDefault="005513B0" w14:paraId="1E44649F" w14:textId="77777777">
            <w:pPr>
              <w:pStyle w:val="Para0"/>
              <w:jc w:val="center"/>
              <w:rPr>
                <w:b/>
                <w:bCs/>
                <w:color w:val="FFFFFF" w:themeColor="background1"/>
                <w:sz w:val="24"/>
                <w:szCs w:val="24"/>
              </w:rPr>
            </w:pPr>
            <w:r w:rsidRPr="00703A21">
              <w:rPr>
                <w:b/>
                <w:bCs/>
                <w:noProof/>
                <w:color w:val="FFFFFF" w:themeColor="background1"/>
                <w:sz w:val="24"/>
                <w:szCs w:val="24"/>
              </w:rPr>
              <w:drawing>
                <wp:anchor distT="0" distB="0" distL="114300" distR="114300" simplePos="0" relativeHeight="251658254" behindDoc="1" locked="0" layoutInCell="1" allowOverlap="1" wp14:anchorId="07E61549" wp14:editId="01302833">
                  <wp:simplePos x="0" y="0"/>
                  <wp:positionH relativeFrom="column">
                    <wp:posOffset>4921250</wp:posOffset>
                  </wp:positionH>
                  <wp:positionV relativeFrom="paragraph">
                    <wp:posOffset>21590</wp:posOffset>
                  </wp:positionV>
                  <wp:extent cx="914400" cy="914400"/>
                  <wp:effectExtent l="0" t="0" r="0" b="0"/>
                  <wp:wrapTight wrapText="bothSides">
                    <wp:wrapPolygon edited="0">
                      <wp:start x="4500" y="0"/>
                      <wp:lineTo x="4050" y="900"/>
                      <wp:lineTo x="4050" y="21150"/>
                      <wp:lineTo x="4500" y="21150"/>
                      <wp:lineTo x="16650" y="21150"/>
                      <wp:lineTo x="17100" y="21150"/>
                      <wp:lineTo x="17100" y="900"/>
                      <wp:lineTo x="16650" y="0"/>
                      <wp:lineTo x="4500" y="0"/>
                    </wp:wrapPolygon>
                  </wp:wrapTight>
                  <wp:docPr id="688584741" name="Graphic 9" descr="Online Network with solid fill">
                    <a:extLst xmlns:a="http://schemas.openxmlformats.org/drawingml/2006/main">
                      <a:ext uri="{FF2B5EF4-FFF2-40B4-BE49-F238E27FC236}">
                        <a16:creationId xmlns:a16="http://schemas.microsoft.com/office/drawing/2014/main" id="{B7C8702F-2BF8-C298-122E-A6D0E747D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584741" name="Graphic 9" descr="Online Network with solid fill">
                            <a:extLst>
                              <a:ext uri="{FF2B5EF4-FFF2-40B4-BE49-F238E27FC236}">
                                <a16:creationId xmlns:a16="http://schemas.microsoft.com/office/drawing/2014/main" id="{B7C8702F-2BF8-C298-122E-A6D0E747D968}"/>
                              </a:ext>
                            </a:extLst>
                          </pic:cNvPr>
                          <pic:cNvPicPr>
                            <a:picLocks noChangeAspect="1"/>
                          </pic:cNvPicPr>
                        </pic:nvPicPr>
                        <pic:blipFill>
                          <a:blip r:embed="rId42">
                            <a:extLst>
                              <a:ext uri="{96DAC541-7B7A-43D3-8B79-37D633B846F1}">
                                <asvg:svgBlip xmlns:asvg="http://schemas.microsoft.com/office/drawing/2016/SVG/main" r:embed="rId43"/>
                              </a:ext>
                            </a:extLst>
                          </a:blip>
                          <a:stretch>
                            <a:fillRect/>
                          </a:stretch>
                        </pic:blipFill>
                        <pic:spPr>
                          <a:xfrm>
                            <a:off x="0" y="0"/>
                            <a:ext cx="914400" cy="914400"/>
                          </a:xfrm>
                          <a:prstGeom prst="rect">
                            <a:avLst/>
                          </a:prstGeom>
                        </pic:spPr>
                      </pic:pic>
                    </a:graphicData>
                  </a:graphic>
                </wp:anchor>
              </w:drawing>
            </w:r>
            <w:r w:rsidRPr="00703A21">
              <w:rPr>
                <w:b/>
                <w:bCs/>
                <w:color w:val="FFFFFF" w:themeColor="background1"/>
                <w:sz w:val="24"/>
                <w:szCs w:val="24"/>
              </w:rPr>
              <w:t xml:space="preserve">Spotlight on results from the TSI Satisfaction Survey </w:t>
            </w:r>
          </w:p>
          <w:p w:rsidRPr="00703A21" w:rsidR="005513B0" w:rsidRDefault="005513B0" w14:paraId="40D4DBFD" w14:textId="0497AFDB">
            <w:pPr>
              <w:pStyle w:val="Para0"/>
              <w:jc w:val="center"/>
              <w:rPr>
                <w:b/>
                <w:bCs/>
                <w:color w:val="FFFFFF" w:themeColor="background1"/>
                <w:sz w:val="24"/>
                <w:szCs w:val="24"/>
              </w:rPr>
            </w:pPr>
            <w:r>
              <w:rPr>
                <w:b/>
                <w:bCs/>
                <w:color w:val="FFFFFF" w:themeColor="background1"/>
                <w:sz w:val="24"/>
                <w:szCs w:val="24"/>
              </w:rPr>
              <w:t>Accessible Services</w:t>
            </w:r>
          </w:p>
          <w:p w:rsidRPr="005E1652" w:rsidR="005513B0" w:rsidP="00A01534" w:rsidRDefault="005513B0" w14:paraId="5E2AD647" w14:textId="2108C935">
            <w:pPr>
              <w:pStyle w:val="Para0"/>
              <w:numPr>
                <w:ilvl w:val="0"/>
                <w:numId w:val="27"/>
              </w:numPr>
              <w:rPr>
                <w:b/>
                <w:bCs/>
                <w:color w:val="FFFFFF" w:themeColor="background1"/>
              </w:rPr>
            </w:pPr>
            <w:r>
              <w:rPr>
                <w:b/>
                <w:bCs/>
                <w:color w:val="FFFFFF" w:themeColor="background1"/>
              </w:rPr>
              <w:t>7</w:t>
            </w:r>
            <w:r w:rsidR="00D748A8">
              <w:rPr>
                <w:b/>
                <w:bCs/>
                <w:color w:val="FFFFFF" w:themeColor="background1"/>
              </w:rPr>
              <w:t>2</w:t>
            </w:r>
            <w:r>
              <w:rPr>
                <w:b/>
                <w:bCs/>
                <w:color w:val="FFFFFF" w:themeColor="background1"/>
              </w:rPr>
              <w:t xml:space="preserve">% </w:t>
            </w:r>
            <w:r>
              <w:rPr>
                <w:color w:val="FFFFFF" w:themeColor="background1"/>
              </w:rPr>
              <w:t>of users</w:t>
            </w:r>
            <w:r w:rsidR="00D748A8">
              <w:rPr>
                <w:color w:val="FFFFFF" w:themeColor="background1"/>
              </w:rPr>
              <w:t xml:space="preserve"> </w:t>
            </w:r>
            <w:r w:rsidRPr="00D748A8" w:rsidR="00D748A8">
              <w:rPr>
                <w:color w:val="FFFFFF" w:themeColor="background1"/>
              </w:rPr>
              <w:t xml:space="preserve">are satisfied with their ability to access the service in the way they wanted when experiencing a Life Event. </w:t>
            </w:r>
          </w:p>
          <w:p w:rsidRPr="00D4006C" w:rsidR="005E1652" w:rsidRDefault="00F61D30" w14:paraId="00629380" w14:textId="4BF5AE40">
            <w:pPr>
              <w:pStyle w:val="Para0"/>
              <w:numPr>
                <w:ilvl w:val="0"/>
                <w:numId w:val="27"/>
              </w:numPr>
              <w:rPr>
                <w:b/>
                <w:bCs/>
                <w:color w:val="FFFFFF" w:themeColor="background1"/>
              </w:rPr>
            </w:pPr>
            <w:r>
              <w:rPr>
                <w:color w:val="FFFFFF" w:themeColor="background1"/>
              </w:rPr>
              <w:t xml:space="preserve">User satisfaction with their ability to access the service in the way they wanted is close, </w:t>
            </w:r>
            <w:r w:rsidR="00FB72D0">
              <w:rPr>
                <w:color w:val="FFFFFF" w:themeColor="background1"/>
              </w:rPr>
              <w:t xml:space="preserve">or at the level of satisfaction for the Life Events (i) lost/looking for a job (68%, - 4 percentage points), (ii) </w:t>
            </w:r>
            <w:r w:rsidR="004B184B">
              <w:rPr>
                <w:color w:val="FFFFFF" w:themeColor="background1"/>
              </w:rPr>
              <w:t>retiring (69%, - 3 percentage points), (iii) had a baby/adopted a child (70%, -2 percentage points)</w:t>
            </w:r>
            <w:r w:rsidR="009C08C2">
              <w:rPr>
                <w:color w:val="FFFFFF" w:themeColor="background1"/>
              </w:rPr>
              <w:t xml:space="preserve">. For some Life Events, the satisfaction level is slightly higher than the EU average (i) getting or renewing an official ID (73%; + 1 percentage point) (ii) getting or renewing a driving licence (74%, +2 percentage points), (iii) </w:t>
            </w:r>
            <w:r w:rsidR="00725112">
              <w:rPr>
                <w:color w:val="FFFFFF" w:themeColor="background1"/>
              </w:rPr>
              <w:t>filing income taxes (+4 percentage points).</w:t>
            </w:r>
          </w:p>
          <w:p w:rsidRPr="00D748A8" w:rsidR="00D4006C" w:rsidP="00D4006C" w:rsidRDefault="00F32ADF" w14:paraId="3F50702C" w14:textId="2062151E">
            <w:pPr>
              <w:pStyle w:val="Para0"/>
              <w:rPr>
                <w:b/>
                <w:bCs/>
                <w:color w:val="FFFFFF" w:themeColor="background1"/>
              </w:rPr>
            </w:pPr>
            <w:r>
              <w:rPr>
                <w:b/>
                <w:bCs/>
                <w:noProof/>
                <w:color w:val="FFFFFF" w:themeColor="background1"/>
              </w:rPr>
              <w:drawing>
                <wp:inline distT="0" distB="0" distL="0" distR="0" wp14:anchorId="31D516A1" wp14:editId="267A234E">
                  <wp:extent cx="5901690" cy="4413250"/>
                  <wp:effectExtent l="0" t="0" r="0" b="6350"/>
                  <wp:docPr id="18002825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8275"/>
                          <a:stretch>
                            <a:fillRect/>
                          </a:stretch>
                        </pic:blipFill>
                        <pic:spPr bwMode="auto">
                          <a:xfrm>
                            <a:off x="0" y="0"/>
                            <a:ext cx="5901690" cy="4413250"/>
                          </a:xfrm>
                          <a:prstGeom prst="rect">
                            <a:avLst/>
                          </a:prstGeom>
                          <a:noFill/>
                          <a:ln>
                            <a:noFill/>
                          </a:ln>
                          <a:extLst>
                            <a:ext uri="{53640926-AAD7-44D8-BBD7-CCE9431645EC}">
                              <a14:shadowObscured xmlns:a14="http://schemas.microsoft.com/office/drawing/2010/main"/>
                            </a:ext>
                          </a:extLst>
                        </pic:spPr>
                      </pic:pic>
                    </a:graphicData>
                  </a:graphic>
                </wp:inline>
              </w:drawing>
            </w:r>
          </w:p>
          <w:p w:rsidRPr="00832509" w:rsidR="00AE1712" w:rsidP="00AE1712" w:rsidRDefault="00AE1712" w14:paraId="13BFD255" w14:textId="2771DAC6">
            <w:pPr>
              <w:pStyle w:val="Para0"/>
              <w:rPr>
                <w:color w:val="FFFFFF" w:themeColor="background1"/>
                <w:sz w:val="16"/>
                <w:szCs w:val="16"/>
              </w:rPr>
            </w:pPr>
            <w:r w:rsidRPr="00832509">
              <w:rPr>
                <w:color w:val="FFFFFF" w:themeColor="background1"/>
                <w:sz w:val="16"/>
                <w:szCs w:val="16"/>
              </w:rPr>
              <w:t>Note: The dark blue arch represents the average satisfaction level with this driver for user</w:t>
            </w:r>
            <w:r w:rsidR="00124915">
              <w:rPr>
                <w:color w:val="FFFFFF" w:themeColor="background1"/>
                <w:sz w:val="16"/>
                <w:szCs w:val="16"/>
              </w:rPr>
              <w:t>s</w:t>
            </w:r>
            <w:r w:rsidRPr="00832509">
              <w:rPr>
                <w:color w:val="FFFFFF" w:themeColor="background1"/>
                <w:sz w:val="16"/>
                <w:szCs w:val="16"/>
              </w:rPr>
              <w:t xml:space="preserve"> of all Life Events across the EU-10. The green pointer represents the satisfaction level of the user for this driver when experiencing the specific Life Event. The pointer position shows whether satisfaction for the specific Life Event is higher or lower than the overall average. </w:t>
            </w:r>
          </w:p>
          <w:p w:rsidRPr="00F55BE7" w:rsidR="00A01534" w:rsidP="00A01534" w:rsidRDefault="00A01534" w14:paraId="6E713F0D" w14:textId="77777777">
            <w:pPr>
              <w:pStyle w:val="Para0"/>
              <w:numPr>
                <w:ilvl w:val="0"/>
                <w:numId w:val="27"/>
              </w:numPr>
              <w:rPr>
                <w:color w:val="FFFFFF" w:themeColor="background1"/>
                <w:lang w:val="en-GB"/>
              </w:rPr>
            </w:pPr>
            <w:r w:rsidRPr="00AE1712">
              <w:rPr>
                <w:b/>
                <w:bCs/>
                <w:color w:val="FFFFFF" w:themeColor="background1"/>
              </w:rPr>
              <w:t>Satisfaction levels showed relatively small difference across male and female respondents, users with high or low education and across urban and rural areas</w:t>
            </w:r>
            <w:r w:rsidRPr="00D748A8">
              <w:rPr>
                <w:color w:val="FFFFFF" w:themeColor="background1"/>
              </w:rPr>
              <w:t>. However, people over 50 years old tend to be more satisfied with the ease of accessing services in most countries.</w:t>
            </w:r>
          </w:p>
          <w:p w:rsidRPr="00EE7985" w:rsidR="00405EB2" w:rsidP="009D0481" w:rsidRDefault="00A01534" w14:paraId="15DF4DD2" w14:textId="2C3749AF">
            <w:pPr>
              <w:pStyle w:val="Para0"/>
              <w:numPr>
                <w:ilvl w:val="0"/>
                <w:numId w:val="27"/>
              </w:numPr>
              <w:rPr>
                <w:b/>
                <w:bCs/>
                <w:color w:val="FFFFFF" w:themeColor="background1"/>
              </w:rPr>
            </w:pPr>
            <w:r w:rsidRPr="00832509">
              <w:rPr>
                <w:b/>
                <w:bCs/>
                <w:color w:val="FFFFFF" w:themeColor="background1"/>
              </w:rPr>
              <w:t>The main channels used to interact with public services over the last 12</w:t>
            </w:r>
            <w:r w:rsidR="00124915">
              <w:rPr>
                <w:b/>
                <w:bCs/>
                <w:color w:val="FFFFFF" w:themeColor="background1"/>
              </w:rPr>
              <w:t>-</w:t>
            </w:r>
            <w:r w:rsidRPr="00832509">
              <w:rPr>
                <w:b/>
                <w:bCs/>
                <w:color w:val="FFFFFF" w:themeColor="background1"/>
              </w:rPr>
              <w:t>months are online channels</w:t>
            </w:r>
            <w:r w:rsidRPr="00832509" w:rsidR="009D0481">
              <w:rPr>
                <w:b/>
                <w:bCs/>
                <w:color w:val="FFFFFF" w:themeColor="background1"/>
              </w:rPr>
              <w:t xml:space="preserve"> across the EU-10</w:t>
            </w:r>
            <w:r w:rsidRPr="00832509">
              <w:rPr>
                <w:b/>
                <w:bCs/>
                <w:color w:val="FFFFFF" w:themeColor="background1"/>
              </w:rPr>
              <w:t>.</w:t>
            </w:r>
            <w:r w:rsidRPr="009D0481">
              <w:rPr>
                <w:color w:val="FFFFFF" w:themeColor="background1"/>
              </w:rPr>
              <w:t xml:space="preserve"> The Survey finds that the level of overall satisfaction by channel is slightly higher for users who access services online (75% of users reporting satisfaction with online channels), followed by in-person access (71%) and email (67%).</w:t>
            </w:r>
          </w:p>
        </w:tc>
      </w:tr>
    </w:tbl>
    <w:p w:rsidR="009A740C" w:rsidP="00870733" w:rsidRDefault="009A740C" w14:paraId="751B3300" w14:textId="63CC4CAB">
      <w:pPr>
        <w:pStyle w:val="Heading3"/>
      </w:pPr>
      <w:r w:rsidRPr="00870733">
        <w:t xml:space="preserve">Country </w:t>
      </w:r>
      <w:r w:rsidR="00042C9B">
        <w:t>p</w:t>
      </w:r>
      <w:r w:rsidRPr="00870733">
        <w:t xml:space="preserve">ractices and </w:t>
      </w:r>
      <w:r w:rsidR="00042C9B">
        <w:t>l</w:t>
      </w:r>
      <w:r w:rsidRPr="00870733">
        <w:t xml:space="preserve">essons </w:t>
      </w:r>
      <w:r w:rsidR="00042C9B">
        <w:t>l</w:t>
      </w:r>
      <w:r w:rsidRPr="00870733">
        <w:t>earned</w:t>
      </w:r>
    </w:p>
    <w:p w:rsidR="009D0481" w:rsidP="009D0481" w:rsidRDefault="00355BF0" w14:paraId="633AC1AD" w14:textId="642AB0C3">
      <w:pPr>
        <w:pStyle w:val="Heading4"/>
        <w:rPr>
          <w:lang w:val="en-US"/>
        </w:rPr>
      </w:pPr>
      <w:r>
        <w:rPr>
          <w:lang w:val="en-US"/>
        </w:rPr>
        <w:t xml:space="preserve">Adoption of the omni-channel approach to accessing public services </w:t>
      </w:r>
    </w:p>
    <w:p w:rsidR="00355BF0" w:rsidP="00355BF0" w:rsidRDefault="001268DB" w14:paraId="35C58E63" w14:textId="0D3A84DD">
      <w:pPr>
        <w:pStyle w:val="Para0"/>
        <w:rPr>
          <w:color w:val="auto"/>
          <w:lang w:val="en-US"/>
        </w:rPr>
      </w:pPr>
      <w:r w:rsidRPr="00832509">
        <w:rPr>
          <w:b/>
          <w:bCs/>
          <w:lang w:val="en-US"/>
        </w:rPr>
        <w:t>Omni-channel refers to the approach to managing service delivery channels in an integrated, interoperable way to enable users to access the services in the way t</w:t>
      </w:r>
      <w:r w:rsidRPr="00832509" w:rsidR="00501CE1">
        <w:rPr>
          <w:b/>
          <w:bCs/>
          <w:lang w:val="en-US"/>
        </w:rPr>
        <w:t xml:space="preserve">hey want seamlessly and with consistent quality </w:t>
      </w:r>
      <w:r w:rsidRPr="00832509" w:rsidR="00501CE1">
        <w:rPr>
          <w:b/>
          <w:bCs/>
          <w:color w:val="auto"/>
          <w:lang w:val="en-US"/>
        </w:rPr>
        <w:t>across channels</w:t>
      </w:r>
      <w:r w:rsidRPr="00F92908" w:rsidR="00501CE1">
        <w:rPr>
          <w:color w:val="auto"/>
          <w:lang w:val="en-US"/>
        </w:rPr>
        <w:t xml:space="preserve"> (such as websites, physical offices, self-service kiosks, video calls, call centres etc.)</w:t>
      </w:r>
      <w:r w:rsidRPr="00F92908" w:rsidR="00F53C85">
        <w:rPr>
          <w:color w:val="auto"/>
          <w:lang w:val="en-US"/>
        </w:rPr>
        <w:t xml:space="preserve"> </w:t>
      </w:r>
      <w:sdt>
        <w:sdtPr>
          <w:rPr>
            <w:color w:val="auto"/>
            <w:lang w:val="en-US"/>
          </w:rPr>
          <w:id w:val="-1079450122"/>
          <w:citation/>
        </w:sdtPr>
        <w:sdtEndPr/>
        <w:sdtContent>
          <w:r w:rsidRPr="00F92908" w:rsidR="00F92908">
            <w:rPr>
              <w:color w:val="auto"/>
              <w:lang w:val="en-US"/>
            </w:rPr>
            <w:fldChar w:fldCharType="begin"/>
          </w:r>
          <w:r w:rsidRPr="00F92908" w:rsidR="00F92908">
            <w:rPr>
              <w:color w:val="auto"/>
              <w:lang w:val="en-US"/>
            </w:rPr>
            <w:instrText xml:space="preserve"> CITATION Mend_kFOsx__1Awz6R5ufQRYAZaA \l 2057 </w:instrText>
          </w:r>
          <w:r w:rsidRPr="00F92908" w:rsidR="00F92908">
            <w:rPr>
              <w:color w:val="auto"/>
              <w:lang w:val="en-US"/>
            </w:rPr>
            <w:fldChar w:fldCharType="separate"/>
          </w:r>
          <w:r w:rsidRPr="00F86F21" w:rsidR="00F86F21">
            <w:rPr>
              <w:noProof/>
              <w:color w:val="auto"/>
              <w:lang w:val="en-US"/>
            </w:rPr>
            <w:t>(OECD, 2024</w:t>
          </w:r>
          <w:r w:rsidRPr="00F86F21" w:rsidR="00F86F21">
            <w:rPr>
              <w:noProof/>
              <w:color w:val="auto"/>
              <w:vertAlign w:val="subscript"/>
              <w:lang w:val="en-US"/>
            </w:rPr>
            <w:t>[1]</w:t>
          </w:r>
          <w:r w:rsidRPr="00F86F21" w:rsidR="00F86F21">
            <w:rPr>
              <w:noProof/>
              <w:color w:val="auto"/>
              <w:lang w:val="en-US"/>
            </w:rPr>
            <w:t>)</w:t>
          </w:r>
          <w:r w:rsidRPr="00F92908" w:rsidR="00F92908">
            <w:rPr>
              <w:color w:val="auto"/>
              <w:lang w:val="en-US"/>
            </w:rPr>
            <w:fldChar w:fldCharType="end"/>
          </w:r>
        </w:sdtContent>
      </w:sdt>
      <w:r w:rsidRPr="00F92908" w:rsidR="002605C1">
        <w:rPr>
          <w:color w:val="auto"/>
          <w:lang w:val="en-US"/>
        </w:rPr>
        <w:t xml:space="preserve">. </w:t>
      </w:r>
      <w:r w:rsidRPr="00F92908" w:rsidR="00E97F06">
        <w:rPr>
          <w:color w:val="auto"/>
          <w:lang w:val="en-US"/>
        </w:rPr>
        <w:t xml:space="preserve">To improve </w:t>
      </w:r>
      <w:r w:rsidR="00E97F06">
        <w:rPr>
          <w:color w:val="auto"/>
          <w:lang w:val="en-US"/>
        </w:rPr>
        <w:t xml:space="preserve">user experiences and enable users to achieve their desired outcomes and meet their needs, the OECD recommends countries adopt an </w:t>
      </w:r>
      <w:r w:rsidR="00685C50">
        <w:rPr>
          <w:color w:val="auto"/>
          <w:lang w:val="en-US"/>
        </w:rPr>
        <w:t>“</w:t>
      </w:r>
      <w:r w:rsidR="00723063">
        <w:rPr>
          <w:color w:val="auto"/>
          <w:lang w:val="en-US"/>
        </w:rPr>
        <w:t xml:space="preserve">omni-channel and/or cross-channel approach with consistently high standards of quality, effective outcomes, ensuring user </w:t>
      </w:r>
      <w:r w:rsidR="004A347A">
        <w:rPr>
          <w:color w:val="auto"/>
          <w:lang w:val="en-US"/>
        </w:rPr>
        <w:t>choice and accessibility, and ease of navigation across all channels, regardless of the point of entry, and regardless of the context of access and use (e.g.</w:t>
      </w:r>
      <w:r w:rsidR="00CC221C">
        <w:rPr>
          <w:color w:val="auto"/>
          <w:lang w:val="en-US"/>
        </w:rPr>
        <w:t>,</w:t>
      </w:r>
      <w:r w:rsidR="004A347A">
        <w:rPr>
          <w:color w:val="auto"/>
          <w:lang w:val="en-US"/>
        </w:rPr>
        <w:t xml:space="preserve"> urban or rural areas)</w:t>
      </w:r>
      <w:r w:rsidR="00685C50">
        <w:rPr>
          <w:color w:val="auto"/>
          <w:lang w:val="en-US"/>
        </w:rPr>
        <w:t>”</w:t>
      </w:r>
      <w:r w:rsidR="00F92908">
        <w:rPr>
          <w:color w:val="auto"/>
          <w:lang w:val="en-US"/>
        </w:rPr>
        <w:t xml:space="preserve"> </w:t>
      </w:r>
      <w:sdt>
        <w:sdtPr>
          <w:rPr>
            <w:color w:val="auto"/>
            <w:lang w:val="en-US"/>
          </w:rPr>
          <w:id w:val="474184601"/>
          <w:citation/>
        </w:sdtPr>
        <w:sdtEndPr/>
        <w:sdtContent>
          <w:r w:rsidR="00F92908">
            <w:rPr>
              <w:color w:val="auto"/>
              <w:lang w:val="en-US"/>
            </w:rPr>
            <w:fldChar w:fldCharType="begin"/>
          </w:r>
          <w:r w:rsidR="00F92908">
            <w:rPr>
              <w:color w:val="auto"/>
              <w:lang w:val="en-US"/>
            </w:rPr>
            <w:instrText xml:space="preserve"> CITATION Mend_kFOsx__1Awz6R5ufQRYAZaA \l 2057 </w:instrText>
          </w:r>
          <w:r w:rsidR="00F92908">
            <w:rPr>
              <w:color w:val="auto"/>
              <w:lang w:val="en-US"/>
            </w:rPr>
            <w:fldChar w:fldCharType="separate"/>
          </w:r>
          <w:r w:rsidRPr="00F86F21" w:rsidR="00F86F21">
            <w:rPr>
              <w:noProof/>
              <w:color w:val="auto"/>
              <w:lang w:val="en-US"/>
            </w:rPr>
            <w:t>(OECD, 2024</w:t>
          </w:r>
          <w:r w:rsidRPr="00F86F21" w:rsidR="00F86F21">
            <w:rPr>
              <w:noProof/>
              <w:color w:val="auto"/>
              <w:vertAlign w:val="subscript"/>
              <w:lang w:val="en-US"/>
            </w:rPr>
            <w:t>[1]</w:t>
          </w:r>
          <w:r w:rsidRPr="00F86F21" w:rsidR="00F86F21">
            <w:rPr>
              <w:noProof/>
              <w:color w:val="auto"/>
              <w:lang w:val="en-US"/>
            </w:rPr>
            <w:t>)</w:t>
          </w:r>
          <w:r w:rsidR="00F92908">
            <w:rPr>
              <w:color w:val="auto"/>
              <w:lang w:val="en-US"/>
            </w:rPr>
            <w:fldChar w:fldCharType="end"/>
          </w:r>
        </w:sdtContent>
      </w:sdt>
      <w:r w:rsidR="004A347A">
        <w:rPr>
          <w:color w:val="auto"/>
          <w:lang w:val="en-US"/>
        </w:rPr>
        <w:t xml:space="preserve">. </w:t>
      </w:r>
    </w:p>
    <w:p w:rsidR="00FD13E5" w:rsidP="00355BF0" w:rsidRDefault="0031217A" w14:paraId="20ED7070" w14:textId="5E8E64BC">
      <w:pPr>
        <w:pStyle w:val="Para0"/>
        <w:rPr>
          <w:color w:val="auto"/>
          <w:lang w:val="en-US"/>
        </w:rPr>
      </w:pPr>
      <w:r w:rsidRPr="00832509">
        <w:rPr>
          <w:b/>
          <w:bCs/>
          <w:color w:val="auto"/>
          <w:lang w:val="en-US"/>
        </w:rPr>
        <w:t xml:space="preserve">As part of the </w:t>
      </w:r>
      <w:r w:rsidRPr="00685C50">
        <w:rPr>
          <w:b/>
          <w:bCs/>
          <w:color w:val="auto"/>
          <w:lang w:val="en-US"/>
        </w:rPr>
        <w:t>EU’s Digital Decade 2030 goals</w:t>
      </w:r>
      <w:r w:rsidRPr="00832509">
        <w:rPr>
          <w:b/>
          <w:bCs/>
          <w:color w:val="auto"/>
          <w:lang w:val="en-US"/>
        </w:rPr>
        <w:t xml:space="preserve">, </w:t>
      </w:r>
      <w:r w:rsidRPr="00832509" w:rsidR="00C20912">
        <w:rPr>
          <w:b/>
          <w:bCs/>
          <w:color w:val="auto"/>
          <w:lang w:val="en-US"/>
        </w:rPr>
        <w:t>a target has been sent for 100% online provision of key public services by 2030</w:t>
      </w:r>
      <w:r w:rsidR="00833D75">
        <w:rPr>
          <w:color w:val="auto"/>
          <w:lang w:val="en-US"/>
        </w:rPr>
        <w:t xml:space="preserve"> </w:t>
      </w:r>
      <w:sdt>
        <w:sdtPr>
          <w:rPr>
            <w:color w:val="auto"/>
            <w:lang w:val="en-US"/>
          </w:rPr>
          <w:id w:val="807365102"/>
          <w:citation/>
        </w:sdtPr>
        <w:sdtEndPr/>
        <w:sdtContent>
          <w:r w:rsidR="000137DC">
            <w:rPr>
              <w:color w:val="auto"/>
              <w:lang w:val="en-US"/>
            </w:rPr>
            <w:fldChar w:fldCharType="begin"/>
          </w:r>
          <w:r w:rsidR="000137DC">
            <w:rPr>
              <w:color w:val="auto"/>
              <w:lang w:val="en-US"/>
            </w:rPr>
            <w:instrText xml:space="preserve"> CITATION Mend_NrT_EJNQ_zuNshe2PS0KOQ \l 2057 </w:instrText>
          </w:r>
          <w:r w:rsidR="000137DC">
            <w:rPr>
              <w:color w:val="auto"/>
              <w:lang w:val="en-US"/>
            </w:rPr>
            <w:fldChar w:fldCharType="separate"/>
          </w:r>
          <w:r w:rsidRPr="00F86F21" w:rsidR="00F86F21">
            <w:rPr>
              <w:noProof/>
              <w:color w:val="auto"/>
              <w:lang w:val="en-US"/>
            </w:rPr>
            <w:t>(</w:t>
          </w:r>
          <w:bookmarkStart w:name="Mend_NrT_EJNQ_zuNshe2PS0KOQ_14" w:id="50"/>
          <w:r w:rsidRPr="00F86F21" w:rsidR="00F86F21">
            <w:rPr>
              <w:noProof/>
              <w:color w:val="auto"/>
              <w:lang w:val="en-US"/>
            </w:rPr>
            <w:t>European Commission, 2021</w:t>
          </w:r>
          <w:r w:rsidRPr="00F86F21" w:rsidR="00F86F21">
            <w:rPr>
              <w:noProof/>
              <w:color w:val="auto"/>
              <w:vertAlign w:val="subscript"/>
              <w:lang w:val="en-US"/>
            </w:rPr>
            <w:t>[14]</w:t>
          </w:r>
          <w:r w:rsidRPr="00F86F21" w:rsidR="00F86F21">
            <w:rPr>
              <w:noProof/>
              <w:color w:val="auto"/>
              <w:lang w:val="en-US"/>
            </w:rPr>
            <w:t>)</w:t>
          </w:r>
          <w:bookmarkEnd w:id="50"/>
          <w:r w:rsidR="000137DC">
            <w:rPr>
              <w:color w:val="auto"/>
              <w:lang w:val="en-US"/>
            </w:rPr>
            <w:fldChar w:fldCharType="end"/>
          </w:r>
        </w:sdtContent>
      </w:sdt>
      <w:r w:rsidR="008711F4">
        <w:rPr>
          <w:color w:val="auto"/>
          <w:lang w:val="en-US"/>
        </w:rPr>
        <w:t xml:space="preserve">. While countries participating in the TSI Project have set the digitalization of public services in their national digital policies and strategies, countries have identified the need to continue to deliver public services through multiple channels. </w:t>
      </w:r>
    </w:p>
    <w:p w:rsidR="00B57612" w:rsidP="00B57612" w:rsidRDefault="004E3E50" w14:paraId="0A490515" w14:textId="1C03F07A">
      <w:pPr>
        <w:pStyle w:val="Para"/>
        <w:numPr>
          <w:ilvl w:val="0"/>
          <w:numId w:val="0"/>
        </w:numPr>
        <w:rPr>
          <w:lang w:val="en-US"/>
        </w:rPr>
      </w:pPr>
      <w:r>
        <w:rPr>
          <w:b/>
          <w:lang w:val="en-US"/>
        </w:rPr>
        <w:t>TSI Satisfaction Survey</w:t>
      </w:r>
      <w:r w:rsidRPr="00717F7F" w:rsidR="00B57612">
        <w:rPr>
          <w:b/>
          <w:lang w:val="en-US"/>
        </w:rPr>
        <w:t xml:space="preserve"> results show that users across the EU-10 utilise different channels to </w:t>
      </w:r>
      <w:r w:rsidR="00685C50">
        <w:rPr>
          <w:b/>
          <w:lang w:val="en-US"/>
        </w:rPr>
        <w:t xml:space="preserve">access </w:t>
      </w:r>
      <w:r w:rsidRPr="00717F7F" w:rsidR="00B57612">
        <w:rPr>
          <w:b/>
          <w:lang w:val="en-US"/>
        </w:rPr>
        <w:t>service</w:t>
      </w:r>
      <w:r w:rsidR="00685C50">
        <w:rPr>
          <w:b/>
          <w:lang w:val="en-US"/>
        </w:rPr>
        <w:t>s</w:t>
      </w:r>
      <w:r w:rsidRPr="00717F7F" w:rsidR="00B57612">
        <w:rPr>
          <w:b/>
          <w:lang w:val="en-US"/>
        </w:rPr>
        <w:t>, with online and in-person interaction being the most frequent and the average satisfaction with both being quite high</w:t>
      </w:r>
      <w:r w:rsidR="001C7D5D">
        <w:rPr>
          <w:b/>
          <w:lang w:val="en-US"/>
        </w:rPr>
        <w:t xml:space="preserve"> </w:t>
      </w:r>
      <w:r w:rsidR="001C7D5D">
        <w:rPr>
          <w:lang w:val="en-US"/>
        </w:rPr>
        <w:t>(</w:t>
      </w:r>
      <w:r w:rsidR="001C7D5D">
        <w:rPr>
          <w:lang w:val="en-US"/>
        </w:rPr>
        <w:fldChar w:fldCharType="begin"/>
      </w:r>
      <w:r w:rsidR="001C7D5D">
        <w:rPr>
          <w:lang w:val="en-US"/>
        </w:rPr>
        <w:instrText xml:space="preserve"> REF _Ref215238064 \h </w:instrText>
      </w:r>
      <w:r w:rsidR="001C7D5D">
        <w:rPr>
          <w:lang w:val="en-US"/>
        </w:rPr>
      </w:r>
      <w:r w:rsidR="001C7D5D">
        <w:rPr>
          <w:lang w:val="en-US"/>
        </w:rPr>
        <w:fldChar w:fldCharType="separate"/>
      </w:r>
      <w:r w:rsidR="00543B3D">
        <w:t>Figure </w:t>
      </w:r>
      <w:r w:rsidR="00543B3D">
        <w:rPr>
          <w:noProof/>
        </w:rPr>
        <w:t>2</w:t>
      </w:r>
      <w:r w:rsidR="00543B3D">
        <w:t>.</w:t>
      </w:r>
      <w:r w:rsidR="00543B3D">
        <w:rPr>
          <w:noProof/>
        </w:rPr>
        <w:t>4</w:t>
      </w:r>
      <w:r w:rsidR="001C7D5D">
        <w:rPr>
          <w:lang w:val="en-US"/>
        </w:rPr>
        <w:fldChar w:fldCharType="end"/>
      </w:r>
      <w:r w:rsidR="001C7D5D">
        <w:rPr>
          <w:lang w:val="en-US"/>
        </w:rPr>
        <w:t>)</w:t>
      </w:r>
      <w:r w:rsidR="00B57612">
        <w:rPr>
          <w:lang w:val="en-US"/>
        </w:rPr>
        <w:t xml:space="preserve">. This sheds light on the importance of sustaining and continuously improving an </w:t>
      </w:r>
      <w:r w:rsidRPr="00F466DA" w:rsidR="00B57612">
        <w:rPr>
          <w:lang w:val="en-US"/>
        </w:rPr>
        <w:t>omni-channel access to public services</w:t>
      </w:r>
      <w:r w:rsidR="00B57612">
        <w:rPr>
          <w:lang w:val="en-US"/>
        </w:rPr>
        <w:t xml:space="preserve">. To achieve this goal, countries can move towards more strategic ways to manage different service delivery channels in ways that make them integrated, convenient and easily accessible, for example through strategies that help manage digital and non-digital channels coherently. Results from the 2023 DGI show that 51% of OECD countries have such a strategy in place </w:t>
      </w:r>
      <w:sdt>
        <w:sdtPr>
          <w:rPr>
            <w:lang w:val="en-US"/>
          </w:rPr>
          <w:id w:val="-71056057"/>
          <w:citation/>
        </w:sdtPr>
        <w:sdtEndPr/>
        <w:sdtContent>
          <w:r w:rsidR="00B57612">
            <w:rPr>
              <w:lang w:val="en-US"/>
            </w:rPr>
            <w:fldChar w:fldCharType="begin"/>
          </w:r>
          <w:r w:rsidR="00B57612">
            <w:instrText xml:space="preserve"> CITATION OEC24 \l 2057 </w:instrText>
          </w:r>
          <w:r w:rsidR="00B57612">
            <w:rPr>
              <w:lang w:val="en-US"/>
            </w:rPr>
            <w:fldChar w:fldCharType="separate"/>
          </w:r>
          <w:r w:rsidRPr="00F86F21" w:rsidR="00F86F21">
            <w:rPr>
              <w:noProof/>
            </w:rPr>
            <w:t>(</w:t>
          </w:r>
          <w:bookmarkStart w:name="OEC24_4" w:id="51"/>
          <w:r w:rsidRPr="00F86F21" w:rsidR="00F86F21">
            <w:rPr>
              <w:noProof/>
            </w:rPr>
            <w:t>OECD, 2024</w:t>
          </w:r>
          <w:r w:rsidRPr="00F86F21" w:rsidR="00F86F21">
            <w:rPr>
              <w:noProof/>
              <w:vertAlign w:val="subscript"/>
            </w:rPr>
            <w:t>[4]</w:t>
          </w:r>
          <w:r w:rsidRPr="00F86F21" w:rsidR="00F86F21">
            <w:rPr>
              <w:noProof/>
            </w:rPr>
            <w:t>)</w:t>
          </w:r>
          <w:bookmarkEnd w:id="51"/>
          <w:r w:rsidR="00B57612">
            <w:rPr>
              <w:lang w:val="en-US"/>
            </w:rPr>
            <w:fldChar w:fldCharType="end"/>
          </w:r>
        </w:sdtContent>
      </w:sdt>
      <w:r w:rsidR="00316F31">
        <w:rPr>
          <w:lang w:val="en-US"/>
        </w:rPr>
        <w:t>.</w:t>
      </w:r>
    </w:p>
    <w:p w:rsidR="00316F31" w:rsidP="00316F31" w:rsidRDefault="00316F31" w14:paraId="3CB00AD0" w14:textId="77777777">
      <w:pPr>
        <w:pStyle w:val="Para0"/>
        <w:rPr>
          <w:bCs/>
        </w:rPr>
      </w:pPr>
      <w:r w:rsidRPr="00316F31">
        <w:rPr>
          <w:b/>
        </w:rPr>
        <w:t xml:space="preserve">Across the EU-10 average, </w:t>
      </w:r>
      <w:r w:rsidRPr="00832509">
        <w:rPr>
          <w:b/>
        </w:rPr>
        <w:t xml:space="preserve">online channels remain the most common interaction mode across Life Events, with </w:t>
      </w:r>
      <w:r w:rsidRPr="00316F31">
        <w:rPr>
          <w:b/>
        </w:rPr>
        <w:t>49% of users using them as their primary channel, followed by 35% who interacted mainly in person.</w:t>
      </w:r>
      <w:r w:rsidRPr="00832509">
        <w:t xml:space="preserve"> While online channels were identified as the main channel by users accessing services through Life Events for seven of the ten countries (Estonia, Finland, Greece, Ireland, Latvia, Lithuania and Spain),</w:t>
      </w:r>
      <w:r>
        <w:rPr>
          <w:b/>
        </w:rPr>
        <w:t xml:space="preserve"> </w:t>
      </w:r>
      <w:r>
        <w:rPr>
          <w:bCs/>
        </w:rPr>
        <w:t>variations exist in these seven countries with regard to the number of users identifying these channels as the preferred access channel when experiencing Life Events. While in some countries, almost two-thirds of respondents identified an online channel (Finland (75%), Estonia (72%)), a difference can be observed in the proportion of users accessing online channels, with a little more than half using online channels in Greece (52%), Ireland (52%), Latvia (52%) and Spain (53%). The large proportion of users accessing services through physical channels in Austria (40%), Slovenia (57%) and Croatia (72%) represents the preferences in these countries for users to continue to access physical channels. The heavy use of physical channels does not represent the lack of digital options but rather a user preference to have in-person contact with individuals</w:t>
      </w:r>
      <w:r w:rsidRPr="00240A92">
        <w:rPr>
          <w:b/>
        </w:rPr>
        <w:t xml:space="preserve">. This can be observed through user’s satisfaction with their ability </w:t>
      </w:r>
      <w:r w:rsidRPr="00240A92">
        <w:rPr>
          <w:b/>
        </w:rPr>
        <w:t>to access the services in the way they wanted</w:t>
      </w:r>
      <w:r>
        <w:rPr>
          <w:bCs/>
        </w:rPr>
        <w:t xml:space="preserve">, with high satisfaction in Austria (69%), Croatia (64%) and Slovenia (70%). Moreover, user dissatisfaction ranged from 9% in Austria, 10% in Slovenia and 13% in Croatia. </w:t>
      </w:r>
    </w:p>
    <w:p w:rsidR="002F4890" w:rsidRDefault="002F4890" w14:paraId="38875F0D" w14:textId="0B008B64">
      <w:pPr>
        <w:pStyle w:val="Caption"/>
      </w:pPr>
      <w:bookmarkStart w:name="_Ref215238064" w:id="52"/>
      <w:bookmarkStart w:name="_Toc223413761" w:id="53"/>
      <w:r>
        <w:t>Figure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4</w:t>
      </w:r>
      <w:r>
        <w:rPr>
          <w:noProof/>
        </w:rPr>
        <w:fldChar w:fldCharType="end"/>
      </w:r>
      <w:bookmarkEnd w:id="52"/>
      <w:r>
        <w:t>. Share of users accessing digital and physical channels when accessing public services associated with Life Events, EU-10</w:t>
      </w:r>
      <w:bookmarkEnd w:id="53"/>
    </w:p>
    <w:p w:rsidRPr="00197646" w:rsidR="002F4890" w:rsidP="00197646" w:rsidRDefault="002F4890" w14:paraId="55C41E28" w14:textId="37936ED4">
      <w:pPr>
        <w:pStyle w:val="CaptionSubtitle"/>
        <w:spacing w:line="240" w:lineRule="auto"/>
      </w:pPr>
      <w:r>
        <w:rPr>
          <w:b/>
          <w:bCs/>
          <w:noProof/>
          <w:color w:val="FFFFFF" w:themeColor="background1"/>
        </w:rPr>
        <w:drawing>
          <wp:inline distT="0" distB="0" distL="0" distR="0" wp14:anchorId="5785065F" wp14:editId="15B9051B">
            <wp:extent cx="5887085" cy="2138045"/>
            <wp:effectExtent l="0" t="0" r="0" b="5715"/>
            <wp:docPr id="535765116" name="Picture 3"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765116" name="Picture 3" descr="A screenshot of a computer screen&#10;&#10;AI-generated content may be incorrec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887085" cy="2138045"/>
                    </a:xfrm>
                    <a:prstGeom prst="rect">
                      <a:avLst/>
                    </a:prstGeom>
                    <a:noFill/>
                    <a:ln>
                      <a:noFill/>
                    </a:ln>
                  </pic:spPr>
                </pic:pic>
              </a:graphicData>
            </a:graphic>
          </wp:inline>
        </w:drawing>
      </w:r>
    </w:p>
    <w:p w:rsidRPr="00454399" w:rsidR="002F4890" w:rsidRDefault="002F4890" w14:paraId="41C8C14D" w14:textId="08766EAF">
      <w:pPr>
        <w:pStyle w:val="Sourcenotes"/>
      </w:pPr>
      <w:r w:rsidRPr="004802B4">
        <w:t xml:space="preserve">Source: </w:t>
      </w:r>
      <w:r w:rsidR="00417874">
        <w:t>Authors’ own visualisation.</w:t>
      </w:r>
    </w:p>
    <w:p w:rsidR="000077C1" w:rsidP="000077C1" w:rsidRDefault="00240A92" w14:paraId="0A83F311" w14:textId="4B9A2BFD">
      <w:pPr>
        <w:pStyle w:val="Para0"/>
      </w:pPr>
      <w:r>
        <w:rPr>
          <w:bCs/>
        </w:rPr>
        <w:t xml:space="preserve">The Survey also finds that </w:t>
      </w:r>
      <w:r w:rsidRPr="00E41879">
        <w:rPr>
          <w:b/>
        </w:rPr>
        <w:t xml:space="preserve">satisfaction rates among online and in-person users are similar across most countries, </w:t>
      </w:r>
      <w:r w:rsidRPr="00E41879" w:rsidR="000077C1">
        <w:rPr>
          <w:b/>
        </w:rPr>
        <w:t>with the exception of Finland and Estonia where users who accessed the service online are 10 percentage points more satisfied than those who primarily accessed the service in person</w:t>
      </w:r>
      <w:r w:rsidR="000077C1">
        <w:t xml:space="preserve">. </w:t>
      </w:r>
    </w:p>
    <w:p w:rsidR="009D0481" w:rsidP="00C41975" w:rsidRDefault="00C41975" w14:paraId="5A152E55" w14:textId="38033899">
      <w:pPr>
        <w:pStyle w:val="Para0"/>
      </w:pPr>
      <w:r>
        <w:rPr>
          <w:b/>
          <w:bCs/>
        </w:rPr>
        <w:t xml:space="preserve">Services are more frequently accessed through online channels for six out of nine Life Events: </w:t>
      </w:r>
      <w:r>
        <w:t>(i)</w:t>
      </w:r>
      <w:r>
        <w:rPr>
          <w:b/>
          <w:bCs/>
        </w:rPr>
        <w:t xml:space="preserve"> </w:t>
      </w:r>
      <w:r w:rsidR="009D0481">
        <w:t xml:space="preserve">Filing income taxes, </w:t>
      </w:r>
      <w:r>
        <w:t xml:space="preserve">(ii) </w:t>
      </w:r>
      <w:r w:rsidR="009D0481">
        <w:t>los</w:t>
      </w:r>
      <w:r>
        <w:t>t</w:t>
      </w:r>
      <w:r w:rsidR="009D0481">
        <w:t xml:space="preserve"> or looking for a job, </w:t>
      </w:r>
      <w:r>
        <w:t xml:space="preserve">(iii) </w:t>
      </w:r>
      <w:r w:rsidR="009D0481">
        <w:t>moving to a new house or to a new city,</w:t>
      </w:r>
      <w:r>
        <w:t xml:space="preserve"> (iv)</w:t>
      </w:r>
      <w:r w:rsidR="009D0481">
        <w:t xml:space="preserve"> having a baby/adopting a child,</w:t>
      </w:r>
      <w:r>
        <w:t xml:space="preserve"> (v)</w:t>
      </w:r>
      <w:r w:rsidR="009D0481">
        <w:t xml:space="preserve"> buying or replacing a vehicle, </w:t>
      </w:r>
      <w:r>
        <w:t xml:space="preserve">(vi) </w:t>
      </w:r>
      <w:r w:rsidR="009D0481">
        <w:t>getting or renewing an official ID document</w:t>
      </w:r>
      <w:r w:rsidRPr="00EC5D87" w:rsidR="009D0481">
        <w:t>.</w:t>
      </w:r>
      <w:r w:rsidR="009D0481">
        <w:t xml:space="preserve"> </w:t>
      </w:r>
      <w:r w:rsidRPr="00EC5D87" w:rsidR="009D0481">
        <w:t>Users across the EU-10 predominantly used in-person services only for three life events, namely getting or renewing a driver’s license, retiring, and losing a loved one. This can be potentially explained by the mandatory face-to-face requirements for getting a driver’s license and people’s general preference for in-person services for events like retiring and losing a loved one.</w:t>
      </w:r>
      <w:r>
        <w:t xml:space="preserve"> Nevertheless, this variation by Life Event also depends on the country in question, with </w:t>
      </w:r>
      <w:r w:rsidR="00486F64">
        <w:t xml:space="preserve">users in Slovenia and Croatia preferring physical channels for </w:t>
      </w:r>
      <w:r w:rsidR="00B26DAA">
        <w:t xml:space="preserve">all </w:t>
      </w:r>
      <w:r w:rsidR="00486F64">
        <w:t xml:space="preserve">Life Events. </w:t>
      </w:r>
    </w:p>
    <w:p w:rsidR="00B57888" w:rsidP="009D0481" w:rsidRDefault="009D0481" w14:paraId="799F5302" w14:textId="00026E60">
      <w:pPr>
        <w:pStyle w:val="Para"/>
        <w:numPr>
          <w:ilvl w:val="0"/>
          <w:numId w:val="0"/>
        </w:numPr>
      </w:pPr>
      <w:r w:rsidRPr="00832509">
        <w:rPr>
          <w:b/>
          <w:bCs/>
        </w:rPr>
        <w:t xml:space="preserve">Patterns in channel usage remained consistent across all age groups </w:t>
      </w:r>
      <w:r>
        <w:t>(18-29; 30-49; and 50+), and respondents of all ages preferred to use online channels rather they were required to do so</w:t>
      </w:r>
      <w:r w:rsidRPr="00162E34">
        <w:t xml:space="preserve">. </w:t>
      </w:r>
      <w:r w:rsidRPr="007141FB">
        <w:t xml:space="preserve">The survey respondents were most </w:t>
      </w:r>
      <w:r>
        <w:t>dissatisfied</w:t>
      </w:r>
      <w:r w:rsidRPr="007141FB">
        <w:t xml:space="preserve"> with accessing services via telephone and post, with 13% of users reporting dissatisfaction with these channels. </w:t>
      </w:r>
      <w:r>
        <w:t>To this end, a</w:t>
      </w:r>
      <w:r w:rsidRPr="0087769D">
        <w:t xml:space="preserve">nalysis of life event data confirms that post is the least popular channel for service access. </w:t>
      </w:r>
      <w:r>
        <w:t>Its u</w:t>
      </w:r>
      <w:r w:rsidRPr="0087769D">
        <w:t>sage is low, reaching 4% only for retirement and remaining under 3% for every other life event</w:t>
      </w:r>
      <w:r>
        <w:t xml:space="preserve"> covered by the Survey</w:t>
      </w:r>
      <w:r w:rsidRPr="0087769D">
        <w:t>.</w:t>
      </w:r>
      <w:r>
        <w:t xml:space="preserve"> </w:t>
      </w:r>
    </w:p>
    <w:p w:rsidR="00B013C3" w:rsidP="00B013C3" w:rsidRDefault="00B013C3" w14:paraId="067059D2" w14:textId="0D6DC82D">
      <w:pPr>
        <w:pStyle w:val="Heading4"/>
      </w:pPr>
      <w:r>
        <w:t>Development of physical channels integrating multiple public services in one single point of contact</w:t>
      </w:r>
    </w:p>
    <w:p w:rsidR="002826AE" w:rsidP="002C41F4" w:rsidRDefault="00017F34" w14:paraId="12A35736" w14:textId="47E06D18">
      <w:pPr>
        <w:pStyle w:val="Para"/>
        <w:numPr>
          <w:ilvl w:val="0"/>
          <w:numId w:val="0"/>
        </w:numPr>
      </w:pPr>
      <w:r w:rsidRPr="00832509">
        <w:rPr>
          <w:b/>
          <w:bCs/>
        </w:rPr>
        <w:t xml:space="preserve">While digital channels are the preferred channel for accessing services for users in seven out of the ten participating countries </w:t>
      </w:r>
      <w:r w:rsidRPr="006723E8">
        <w:t>(</w:t>
      </w:r>
      <w:r w:rsidRPr="006723E8">
        <w:fldChar w:fldCharType="begin"/>
      </w:r>
      <w:r w:rsidRPr="006723E8">
        <w:instrText xml:space="preserve"> REF _Ref215238064 \h </w:instrText>
      </w:r>
      <w:r w:rsidRPr="00832509" w:rsidR="006723E8">
        <w:instrText xml:space="preserve"> \* MERGEFORMAT </w:instrText>
      </w:r>
      <w:r w:rsidRPr="006723E8">
        <w:fldChar w:fldCharType="separate"/>
      </w:r>
      <w:r w:rsidR="00543B3D">
        <w:t>Figure 2.4</w:t>
      </w:r>
      <w:r w:rsidRPr="006723E8">
        <w:fldChar w:fldCharType="end"/>
      </w:r>
      <w:r w:rsidRPr="006723E8">
        <w:t>),</w:t>
      </w:r>
      <w:r w:rsidRPr="00832509">
        <w:rPr>
          <w:b/>
          <w:bCs/>
        </w:rPr>
        <w:t xml:space="preserve"> </w:t>
      </w:r>
      <w:r w:rsidRPr="00832509" w:rsidR="00144A3F">
        <w:rPr>
          <w:b/>
          <w:bCs/>
        </w:rPr>
        <w:t>countries continue to develop physical access points</w:t>
      </w:r>
      <w:r w:rsidRPr="00832509" w:rsidR="006E789C">
        <w:rPr>
          <w:b/>
          <w:bCs/>
        </w:rPr>
        <w:t>.</w:t>
      </w:r>
      <w:r w:rsidR="006E789C">
        <w:t xml:space="preserve"> </w:t>
      </w:r>
      <w:r w:rsidR="008C7C4C">
        <w:t xml:space="preserve">For </w:t>
      </w:r>
      <w:r w:rsidR="008C7C4C">
        <w:rPr>
          <w:b/>
          <w:bCs/>
        </w:rPr>
        <w:t>physical access</w:t>
      </w:r>
      <w:r w:rsidR="008C7C4C">
        <w:t xml:space="preserve">, countries are succeeding in providing </w:t>
      </w:r>
      <w:r w:rsidR="002C41F4">
        <w:t xml:space="preserve">service access and points that are close to </w:t>
      </w:r>
      <w:r w:rsidR="002C41F4">
        <w:t>the users. Across the EU-10, 65% of users agreed with the statement that the distance travelled was reasonable when accessing physical services. Nevertheless, t</w:t>
      </w:r>
      <w:r w:rsidR="000A23DA">
        <w:rPr>
          <w:lang w:val="en-US"/>
        </w:rPr>
        <w:t>he share is on average higher among urban users compared to rural.</w:t>
      </w:r>
      <w:r w:rsidR="00C67496">
        <w:rPr>
          <w:lang w:val="en-US"/>
        </w:rPr>
        <w:t xml:space="preserve"> </w:t>
      </w:r>
      <w:r w:rsidR="00B57612">
        <w:t>To enhance physical access to public services, countries have work</w:t>
      </w:r>
      <w:r w:rsidR="00C67496">
        <w:t>ed</w:t>
      </w:r>
      <w:r w:rsidR="00B57612">
        <w:t xml:space="preserve"> to integrate multiple physical access points together. In Fin</w:t>
      </w:r>
      <w:r w:rsidR="005C57AB">
        <w:t>l</w:t>
      </w:r>
      <w:r w:rsidR="002D4281">
        <w:t xml:space="preserve">and, </w:t>
      </w:r>
      <w:r w:rsidR="000C3388">
        <w:t xml:space="preserve">the </w:t>
      </w:r>
      <w:r w:rsidR="000C3388">
        <w:rPr>
          <w:i/>
          <w:iCs/>
        </w:rPr>
        <w:t>Suomi-Piste Local Contact Points for Public Services</w:t>
      </w:r>
      <w:r w:rsidR="000C3388">
        <w:rPr>
          <w:b/>
          <w:bCs/>
          <w:i/>
          <w:iCs/>
        </w:rPr>
        <w:t xml:space="preserve"> </w:t>
      </w:r>
      <w:r w:rsidR="000C3388">
        <w:t xml:space="preserve">aim to support users in navigating multiple </w:t>
      </w:r>
      <w:r w:rsidR="002826AE">
        <w:t>services (</w:t>
      </w:r>
      <w:r w:rsidR="00781A80">
        <w:fldChar w:fldCharType="begin"/>
      </w:r>
      <w:r w:rsidR="00781A80">
        <w:instrText xml:space="preserve"> REF _Ref215239326 \h </w:instrText>
      </w:r>
      <w:r w:rsidR="00781A80">
        <w:fldChar w:fldCharType="separate"/>
      </w:r>
      <w:r w:rsidRPr="00B44A50" w:rsidR="00543B3D">
        <w:t>Box</w:t>
      </w:r>
      <w:r w:rsidR="00543B3D">
        <w:t> </w:t>
      </w:r>
      <w:r w:rsidR="00543B3D">
        <w:rPr>
          <w:noProof/>
        </w:rPr>
        <w:t>2</w:t>
      </w:r>
      <w:r w:rsidR="00543B3D">
        <w:t>.</w:t>
      </w:r>
      <w:r w:rsidR="00543B3D">
        <w:rPr>
          <w:noProof/>
        </w:rPr>
        <w:t>10</w:t>
      </w:r>
      <w:r w:rsidR="00781A80">
        <w:fldChar w:fldCharType="end"/>
      </w:r>
      <w:r w:rsidR="00781A80">
        <w:t xml:space="preserve">).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781A80" w14:paraId="5CF4D55D"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781A80" w:rsidRDefault="00781A80" w14:paraId="6313B9CC" w14:textId="7E522130">
            <w:pPr>
              <w:pStyle w:val="Caption"/>
            </w:pPr>
            <w:bookmarkStart w:name="_Ref215239326" w:id="54"/>
            <w:bookmarkStart w:name="_Toc223413801" w:id="55"/>
            <w:r>
              <w:rPr>
                <w:noProof/>
              </w:rPr>
              <w:drawing>
                <wp:anchor distT="0" distB="0" distL="114300" distR="114300" simplePos="0" relativeHeight="251658268" behindDoc="1" locked="0" layoutInCell="1" allowOverlap="1" wp14:anchorId="77BBEC05" wp14:editId="1BD3438C">
                  <wp:simplePos x="0" y="0"/>
                  <wp:positionH relativeFrom="column">
                    <wp:posOffset>4709600</wp:posOffset>
                  </wp:positionH>
                  <wp:positionV relativeFrom="paragraph">
                    <wp:posOffset>63256</wp:posOffset>
                  </wp:positionV>
                  <wp:extent cx="995125" cy="608965"/>
                  <wp:effectExtent l="0" t="0" r="0" b="635"/>
                  <wp:wrapTight wrapText="bothSides">
                    <wp:wrapPolygon edited="0">
                      <wp:start x="0" y="0"/>
                      <wp:lineTo x="0" y="20947"/>
                      <wp:lineTo x="21090" y="20947"/>
                      <wp:lineTo x="21090" y="0"/>
                      <wp:lineTo x="0" y="0"/>
                    </wp:wrapPolygon>
                  </wp:wrapTight>
                  <wp:docPr id="655433522" name="Picture 1" descr="A blue cros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63103" name="Picture 1" descr="A blue cross on a white background&#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95125" cy="608965"/>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10</w:t>
            </w:r>
            <w:r>
              <w:rPr>
                <w:noProof/>
              </w:rPr>
              <w:fldChar w:fldCharType="end"/>
            </w:r>
            <w:bookmarkEnd w:id="54"/>
            <w:r>
              <w:t xml:space="preserve">. </w:t>
            </w:r>
            <w:r w:rsidRPr="00397164">
              <w:rPr>
                <w:lang w:val="en-US"/>
              </w:rPr>
              <w:t>Finland</w:t>
            </w:r>
            <w:r w:rsidR="00A40062">
              <w:rPr>
                <w:lang w:val="en-US"/>
              </w:rPr>
              <w:t xml:space="preserve"> -</w:t>
            </w:r>
            <w:r w:rsidRPr="00397164">
              <w:rPr>
                <w:lang w:val="en-US"/>
              </w:rPr>
              <w:t>Suomi-Piste Local Contact Points for Publi</w:t>
            </w:r>
            <w:r>
              <w:rPr>
                <w:lang w:val="en-US"/>
              </w:rPr>
              <w:t>c Services</w:t>
            </w:r>
            <w:bookmarkEnd w:id="55"/>
          </w:p>
          <w:p w:rsidR="002B6604" w:rsidP="002B6604" w:rsidRDefault="002B6604" w14:paraId="2CCD466A" w14:textId="77777777">
            <w:pPr>
              <w:pStyle w:val="Para0"/>
            </w:pPr>
            <w:r w:rsidRPr="00832509">
              <w:rPr>
                <w:b/>
                <w:bCs/>
              </w:rPr>
              <w:t>Finland</w:t>
            </w:r>
            <w:r>
              <w:t xml:space="preserve"> launched the </w:t>
            </w:r>
            <w:r>
              <w:rPr>
                <w:b/>
                <w:bCs/>
              </w:rPr>
              <w:t xml:space="preserve">renewal of the central government’s service and premises network in 2020s. </w:t>
            </w:r>
            <w:r>
              <w:t xml:space="preserve">The aim of this renewal is to assemble central government’s in-person services into </w:t>
            </w:r>
            <w:r>
              <w:rPr>
                <w:b/>
                <w:bCs/>
              </w:rPr>
              <w:t>joint service points</w:t>
            </w:r>
            <w:r>
              <w:t xml:space="preserve">, where general service counselling and digital support are also available. The aim of enforcing the network is to contribute to equal access to services. </w:t>
            </w:r>
          </w:p>
          <w:p w:rsidRPr="0037254C" w:rsidR="002B6604" w:rsidP="002B6604" w:rsidRDefault="002B6604" w14:paraId="5A131D62" w14:textId="77777777">
            <w:pPr>
              <w:pStyle w:val="Para0"/>
            </w:pPr>
            <w:r>
              <w:t xml:space="preserve">The use of the central government premises aims also to increase efficiency within public administrations, with agencies moving to shared work environments. The first six joint service points were opened between 2023 and 2025, with the objective of the Network covering the whole of Finland by 2030. </w:t>
            </w:r>
          </w:p>
          <w:p w:rsidRPr="00397164" w:rsidR="00781A80" w:rsidP="00781A80" w:rsidRDefault="00781A80" w14:paraId="1FDFF506" w14:textId="77777777">
            <w:pPr>
              <w:pStyle w:val="Para0"/>
              <w:rPr>
                <w:lang w:val="en-US"/>
              </w:rPr>
            </w:pPr>
            <w:r w:rsidRPr="00397164">
              <w:rPr>
                <w:lang w:val="en-US"/>
              </w:rPr>
              <w:t>Finland’s Suomi-Piste local contact points are a network of</w:t>
            </w:r>
            <w:r>
              <w:rPr>
                <w:lang w:val="en-US"/>
              </w:rPr>
              <w:t xml:space="preserve"> walk-in service hubs that provide citizens with in-person guidance for navigating digital and administrative public services. The Suomi-piste model seeks to ensure that everyone – including people in rural areas, newcomers, and those with lower digital skills – can access public services reliably and confidently. By combining human support with Finland’s highly digitalized service ecosystem, these contact points reduce exclusion, enhance usability and strengthen trust in government as well. </w:t>
            </w:r>
          </w:p>
          <w:p w:rsidRPr="00864412" w:rsidR="00781A80" w:rsidP="00781A80" w:rsidRDefault="00781A80" w14:paraId="6DC7B7A6" w14:textId="77777777">
            <w:pPr>
              <w:pStyle w:val="Para0"/>
              <w:rPr>
                <w:b/>
                <w:bCs/>
                <w:lang w:val="en-US"/>
              </w:rPr>
            </w:pPr>
            <w:r>
              <w:rPr>
                <w:b/>
                <w:bCs/>
                <w:lang w:val="en-US"/>
              </w:rPr>
              <w:t>Good practices summary:</w:t>
            </w:r>
          </w:p>
          <w:p w:rsidRPr="00864412" w:rsidR="00781A80" w:rsidP="00781A80" w:rsidRDefault="00781A80" w14:paraId="21DD5EA8" w14:textId="77777777">
            <w:pPr>
              <w:pStyle w:val="BulletedList"/>
              <w:rPr>
                <w:lang w:val="en-US"/>
              </w:rPr>
            </w:pPr>
            <w:r w:rsidRPr="00181E5D">
              <w:rPr>
                <w:b/>
                <w:bCs/>
                <w:lang w:val="en-US"/>
              </w:rPr>
              <w:t>Provide in-person assistance</w:t>
            </w:r>
            <w:r>
              <w:rPr>
                <w:lang w:val="en-US"/>
              </w:rPr>
              <w:t xml:space="preserve"> for using national and local digital services</w:t>
            </w:r>
            <w:r w:rsidRPr="00864412">
              <w:rPr>
                <w:lang w:val="en-US"/>
              </w:rPr>
              <w:t>.</w:t>
            </w:r>
          </w:p>
          <w:p w:rsidRPr="00864412" w:rsidR="00781A80" w:rsidP="00781A80" w:rsidRDefault="00781A80" w14:paraId="4485168B" w14:textId="77777777">
            <w:pPr>
              <w:pStyle w:val="BulletedList"/>
              <w:rPr>
                <w:lang w:val="en-US"/>
              </w:rPr>
            </w:pPr>
            <w:r w:rsidRPr="00181E5D">
              <w:rPr>
                <w:b/>
                <w:bCs/>
                <w:lang w:val="en-US"/>
              </w:rPr>
              <w:t>Help citizens</w:t>
            </w:r>
            <w:r>
              <w:rPr>
                <w:lang w:val="en-US"/>
              </w:rPr>
              <w:t xml:space="preserve"> complete applications, forms, and online transactions</w:t>
            </w:r>
            <w:r w:rsidRPr="00864412">
              <w:rPr>
                <w:lang w:val="en-US"/>
              </w:rPr>
              <w:t>.</w:t>
            </w:r>
          </w:p>
          <w:p w:rsidR="00781A80" w:rsidP="00781A80" w:rsidRDefault="00781A80" w14:paraId="40BE9F39" w14:textId="77777777">
            <w:pPr>
              <w:pStyle w:val="BulletedList"/>
              <w:rPr>
                <w:lang w:val="en-US"/>
              </w:rPr>
            </w:pPr>
            <w:r w:rsidRPr="00181E5D">
              <w:rPr>
                <w:b/>
                <w:bCs/>
                <w:lang w:val="en-US"/>
              </w:rPr>
              <w:t>Offer support</w:t>
            </w:r>
            <w:r>
              <w:rPr>
                <w:lang w:val="en-US"/>
              </w:rPr>
              <w:t xml:space="preserve"> with e-identification</w:t>
            </w:r>
            <w:r w:rsidRPr="00864412">
              <w:rPr>
                <w:lang w:val="en-US"/>
              </w:rPr>
              <w:t>.</w:t>
            </w:r>
          </w:p>
          <w:p w:rsidRPr="00864412" w:rsidR="00781A80" w:rsidP="00781A80" w:rsidRDefault="00781A80" w14:paraId="6C75C822" w14:textId="77777777">
            <w:pPr>
              <w:pStyle w:val="BulletedList"/>
              <w:rPr>
                <w:lang w:val="en-US"/>
              </w:rPr>
            </w:pPr>
            <w:r w:rsidRPr="00181E5D">
              <w:rPr>
                <w:b/>
                <w:bCs/>
                <w:lang w:val="en-US"/>
              </w:rPr>
              <w:t>Bundle services</w:t>
            </w:r>
            <w:r>
              <w:rPr>
                <w:lang w:val="en-US"/>
              </w:rPr>
              <w:t xml:space="preserve"> from multiple authorities in one easily accessible place</w:t>
            </w:r>
            <w:r w:rsidRPr="00864412">
              <w:rPr>
                <w:lang w:val="en-US"/>
              </w:rPr>
              <w:t>.</w:t>
            </w:r>
          </w:p>
          <w:p w:rsidRPr="00864412" w:rsidR="00781A80" w:rsidP="00781A80" w:rsidRDefault="00781A80" w14:paraId="7D8BAD4B" w14:textId="77777777">
            <w:pPr>
              <w:pStyle w:val="BulletedList"/>
              <w:rPr>
                <w:lang w:val="en-US"/>
              </w:rPr>
            </w:pPr>
            <w:r w:rsidRPr="00181E5D">
              <w:rPr>
                <w:b/>
                <w:bCs/>
                <w:lang w:val="en-US"/>
              </w:rPr>
              <w:t>Improve access</w:t>
            </w:r>
            <w:r>
              <w:rPr>
                <w:lang w:val="en-US"/>
              </w:rPr>
              <w:t xml:space="preserve"> in remote and sparsely populated regions across the country</w:t>
            </w:r>
            <w:r w:rsidRPr="00864412">
              <w:rPr>
                <w:lang w:val="en-US"/>
              </w:rPr>
              <w:t>.</w:t>
            </w:r>
          </w:p>
          <w:p w:rsidR="00781A80" w:rsidP="00781A80" w:rsidRDefault="00781A80" w14:paraId="72841AA4" w14:textId="77777777">
            <w:pPr>
              <w:pStyle w:val="BulletedList"/>
              <w:rPr>
                <w:lang w:val="en-US"/>
              </w:rPr>
            </w:pPr>
            <w:r w:rsidRPr="00181E5D">
              <w:rPr>
                <w:b/>
                <w:bCs/>
                <w:lang w:val="en-US"/>
              </w:rPr>
              <w:t>Ensure consistent, high-quality service delivery</w:t>
            </w:r>
            <w:r>
              <w:rPr>
                <w:lang w:val="en-US"/>
              </w:rPr>
              <w:t xml:space="preserve"> through trained staff</w:t>
            </w:r>
            <w:r w:rsidRPr="00864412">
              <w:rPr>
                <w:lang w:val="en-US"/>
              </w:rPr>
              <w:t>.</w:t>
            </w:r>
          </w:p>
          <w:p w:rsidR="00781A80" w:rsidRDefault="00781A80" w14:paraId="7BA2FEF5" w14:textId="77777777">
            <w:pPr>
              <w:pStyle w:val="BulletedList"/>
              <w:rPr>
                <w:lang w:val="en-US"/>
              </w:rPr>
            </w:pPr>
            <w:r w:rsidRPr="00181E5D">
              <w:rPr>
                <w:b/>
                <w:bCs/>
                <w:lang w:val="en-US"/>
              </w:rPr>
              <w:t>Act as a bridge</w:t>
            </w:r>
            <w:r>
              <w:rPr>
                <w:lang w:val="en-US"/>
              </w:rPr>
              <w:t xml:space="preserve"> between digital government systems and users who need personal support.</w:t>
            </w:r>
          </w:p>
          <w:p w:rsidRPr="00781A80" w:rsidR="00E549C3" w:rsidP="00832509" w:rsidRDefault="00E549C3" w14:paraId="48902554" w14:textId="1B21C56E">
            <w:pPr>
              <w:pStyle w:val="Sourcenotes"/>
              <w:rPr>
                <w:lang w:val="en-US"/>
              </w:rPr>
            </w:pPr>
            <w:r>
              <w:t xml:space="preserve">Source: Data collected through TSI Country Mission to Finland, </w:t>
            </w:r>
            <w:r w:rsidR="005107F8">
              <w:t xml:space="preserve">May </w:t>
            </w:r>
            <w:r>
              <w:t>2025.</w:t>
            </w:r>
          </w:p>
        </w:tc>
      </w:tr>
    </w:tbl>
    <w:p w:rsidR="002826AE" w:rsidP="002C41F4" w:rsidRDefault="00B20BF1" w14:paraId="318DCD8E" w14:textId="0FB2C2FA">
      <w:pPr>
        <w:pStyle w:val="Para"/>
        <w:numPr>
          <w:ilvl w:val="0"/>
          <w:numId w:val="0"/>
        </w:numPr>
      </w:pPr>
      <w:r>
        <w:t xml:space="preserve">In Greece, physical one-stop shops have been developed to offer citizens access with a broad range of services ( </w:t>
      </w:r>
      <w:r>
        <w:fldChar w:fldCharType="begin"/>
      </w:r>
      <w:r>
        <w:instrText xml:space="preserve"> REF _Ref215517940 \h </w:instrText>
      </w:r>
      <w:r>
        <w:fldChar w:fldCharType="separate"/>
      </w:r>
      <w:r w:rsidRPr="00B44A50" w:rsidR="00543B3D">
        <w:t>Box</w:t>
      </w:r>
      <w:r w:rsidR="00543B3D">
        <w:t> </w:t>
      </w:r>
      <w:r w:rsidR="00543B3D">
        <w:rPr>
          <w:noProof/>
        </w:rPr>
        <w:t>2</w:t>
      </w:r>
      <w:r w:rsidR="00543B3D">
        <w:t>.</w:t>
      </w:r>
      <w:r w:rsidR="00543B3D">
        <w:rPr>
          <w:noProof/>
        </w:rPr>
        <w:t>11</w:t>
      </w:r>
      <w:r>
        <w:fldChar w:fldCharType="end"/>
      </w:r>
      <w:r>
        <w:t>).</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4F319D" w14:paraId="6FCDC5C6"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4F319D" w:rsidRDefault="004F319D" w14:paraId="52A2F933" w14:textId="7ABE8820">
            <w:pPr>
              <w:pStyle w:val="Caption"/>
            </w:pPr>
            <w:bookmarkStart w:name="_Ref215517940" w:id="56"/>
            <w:bookmarkStart w:name="_Toc223413802" w:id="57"/>
            <w:r w:rsidRPr="00B7105D">
              <w:rPr>
                <w:noProof/>
              </w:rPr>
              <w:drawing>
                <wp:anchor distT="0" distB="0" distL="114300" distR="114300" simplePos="0" relativeHeight="251658269" behindDoc="1" locked="0" layoutInCell="1" allowOverlap="1" wp14:anchorId="509F118A" wp14:editId="2F6D1BFF">
                  <wp:simplePos x="0" y="0"/>
                  <wp:positionH relativeFrom="column">
                    <wp:posOffset>4837430</wp:posOffset>
                  </wp:positionH>
                  <wp:positionV relativeFrom="paragraph">
                    <wp:posOffset>163879</wp:posOffset>
                  </wp:positionV>
                  <wp:extent cx="810260" cy="539750"/>
                  <wp:effectExtent l="0" t="0" r="8890" b="0"/>
                  <wp:wrapSquare wrapText="bothSides"/>
                  <wp:docPr id="161086903" name="Picture 1" descr="A blue and white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066321" name="Picture 1" descr="A blue and white flag&#10;&#10;AI-generated content may be incorrec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810260" cy="539750"/>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11</w:t>
            </w:r>
            <w:r>
              <w:rPr>
                <w:noProof/>
              </w:rPr>
              <w:fldChar w:fldCharType="end"/>
            </w:r>
            <w:bookmarkEnd w:id="56"/>
            <w:r>
              <w:t>. Greece</w:t>
            </w:r>
            <w:r w:rsidR="00A40062">
              <w:t xml:space="preserve"> -</w:t>
            </w:r>
            <w:r w:rsidRPr="00397164">
              <w:rPr>
                <w:lang w:val="en-US"/>
              </w:rPr>
              <w:t xml:space="preserve"> </w:t>
            </w:r>
            <w:r>
              <w:rPr>
                <w:lang w:val="en-US"/>
              </w:rPr>
              <w:t>KEP centers</w:t>
            </w:r>
            <w:r w:rsidRPr="00397164">
              <w:rPr>
                <w:lang w:val="en-US"/>
              </w:rPr>
              <w:t xml:space="preserve"> Local Contact Points for Publi</w:t>
            </w:r>
            <w:r>
              <w:rPr>
                <w:lang w:val="en-US"/>
              </w:rPr>
              <w:t>c Services</w:t>
            </w:r>
            <w:bookmarkEnd w:id="57"/>
            <w:r w:rsidRPr="00B7105D">
              <w:rPr>
                <w:noProof/>
              </w:rPr>
              <w:t xml:space="preserve"> </w:t>
            </w:r>
          </w:p>
          <w:p w:rsidRPr="00397164" w:rsidR="004F319D" w:rsidP="004F319D" w:rsidRDefault="004F319D" w14:paraId="062B181E" w14:textId="77777777">
            <w:pPr>
              <w:pStyle w:val="Para0"/>
              <w:rPr>
                <w:lang w:val="en-US"/>
              </w:rPr>
            </w:pPr>
            <w:r w:rsidRPr="00832509">
              <w:rPr>
                <w:b/>
                <w:bCs/>
                <w:lang w:val="en-US"/>
              </w:rPr>
              <w:t>Greece</w:t>
            </w:r>
            <w:r>
              <w:rPr>
                <w:lang w:val="en-US"/>
              </w:rPr>
              <w:t xml:space="preserve">’s KEP are physical one-stop offices where citizens can access a broad range of public services and administrative procedures in person. These centers are extremely useful as they help reduce bureaucratic hurdles experienced by individuals by centralising public-service points and improve accessibility – especially for those who may struggle with digital channels. Through KEP centers, all sorts of administrative tasks are simplified under a unified approach, strengthening strength and trust in government and easing the citizen journey. </w:t>
            </w:r>
          </w:p>
          <w:p w:rsidRPr="00864412" w:rsidR="004F319D" w:rsidP="004F319D" w:rsidRDefault="004F319D" w14:paraId="3E48F457" w14:textId="77777777">
            <w:pPr>
              <w:pStyle w:val="Para0"/>
              <w:rPr>
                <w:b/>
                <w:bCs/>
                <w:lang w:val="en-US"/>
              </w:rPr>
            </w:pPr>
            <w:r>
              <w:rPr>
                <w:b/>
                <w:bCs/>
                <w:lang w:val="en-US"/>
              </w:rPr>
              <w:t>Good practices summary:</w:t>
            </w:r>
          </w:p>
          <w:p w:rsidR="004F319D" w:rsidP="004F319D" w:rsidRDefault="004F319D" w14:paraId="0FD2855A" w14:textId="77777777">
            <w:pPr>
              <w:pStyle w:val="BulletedList"/>
              <w:rPr>
                <w:lang w:val="en-US"/>
              </w:rPr>
            </w:pPr>
            <w:r w:rsidRPr="00181E5D">
              <w:rPr>
                <w:b/>
                <w:bCs/>
                <w:lang w:val="en-US"/>
              </w:rPr>
              <w:t>Serve as one-stop shop</w:t>
            </w:r>
            <w:r>
              <w:rPr>
                <w:lang w:val="en-US"/>
              </w:rPr>
              <w:t xml:space="preserve"> for administrative procedures and public services. </w:t>
            </w:r>
          </w:p>
          <w:p w:rsidR="004F319D" w:rsidP="004F319D" w:rsidRDefault="004F319D" w14:paraId="1A5275B6" w14:textId="0BE1D5B3">
            <w:pPr>
              <w:pStyle w:val="BulletedList"/>
              <w:rPr>
                <w:lang w:val="en-US"/>
              </w:rPr>
            </w:pPr>
            <w:r w:rsidRPr="00181E5D">
              <w:rPr>
                <w:b/>
                <w:bCs/>
                <w:lang w:val="en-US"/>
              </w:rPr>
              <w:t>Provide information, forms and assistance</w:t>
            </w:r>
            <w:r>
              <w:rPr>
                <w:lang w:val="en-US"/>
              </w:rPr>
              <w:t xml:space="preserve"> </w:t>
            </w:r>
            <w:r w:rsidR="00BB6D14">
              <w:rPr>
                <w:lang w:val="en-US"/>
              </w:rPr>
              <w:t xml:space="preserve">for </w:t>
            </w:r>
            <w:r>
              <w:rPr>
                <w:lang w:val="en-US"/>
              </w:rPr>
              <w:t xml:space="preserve">numerous procedures. </w:t>
            </w:r>
          </w:p>
          <w:p w:rsidR="004F319D" w:rsidP="004F319D" w:rsidRDefault="004F319D" w14:paraId="687A7A71" w14:textId="57A49D99">
            <w:pPr>
              <w:pStyle w:val="BulletedList"/>
              <w:rPr>
                <w:lang w:val="en-US"/>
              </w:rPr>
            </w:pPr>
            <w:r>
              <w:rPr>
                <w:lang w:val="en-US"/>
              </w:rPr>
              <w:t>Allow citizens to submit application</w:t>
            </w:r>
            <w:r w:rsidR="00BB6D14">
              <w:rPr>
                <w:lang w:val="en-US"/>
              </w:rPr>
              <w:t>s</w:t>
            </w:r>
            <w:r>
              <w:rPr>
                <w:lang w:val="en-US"/>
              </w:rPr>
              <w:t xml:space="preserve">, request certificates, and complete bureaucratic tasks </w:t>
            </w:r>
            <w:r w:rsidRPr="00181E5D">
              <w:rPr>
                <w:b/>
                <w:bCs/>
                <w:lang w:val="en-US"/>
              </w:rPr>
              <w:t>in person</w:t>
            </w:r>
            <w:r>
              <w:rPr>
                <w:lang w:val="en-US"/>
              </w:rPr>
              <w:t xml:space="preserve">. </w:t>
            </w:r>
          </w:p>
          <w:p w:rsidR="004F319D" w:rsidP="004F319D" w:rsidRDefault="004F319D" w14:paraId="3DB82B26" w14:textId="77777777">
            <w:pPr>
              <w:pStyle w:val="BulletedList"/>
              <w:rPr>
                <w:lang w:val="en-US"/>
              </w:rPr>
            </w:pPr>
            <w:r w:rsidRPr="00181E5D">
              <w:rPr>
                <w:b/>
                <w:bCs/>
                <w:lang w:val="en-US"/>
              </w:rPr>
              <w:t>Offer both physical offices</w:t>
            </w:r>
            <w:r>
              <w:rPr>
                <w:lang w:val="en-US"/>
              </w:rPr>
              <w:t xml:space="preserve"> </w:t>
            </w:r>
            <w:r w:rsidRPr="00181E5D">
              <w:rPr>
                <w:b/>
                <w:bCs/>
                <w:lang w:val="en-US"/>
              </w:rPr>
              <w:t>and</w:t>
            </w:r>
            <w:r>
              <w:rPr>
                <w:lang w:val="en-US"/>
              </w:rPr>
              <w:t xml:space="preserve"> myKEPLive videoconference for </w:t>
            </w:r>
            <w:r w:rsidRPr="00181E5D">
              <w:rPr>
                <w:b/>
                <w:bCs/>
                <w:lang w:val="en-US"/>
              </w:rPr>
              <w:t>remote contact</w:t>
            </w:r>
            <w:r>
              <w:rPr>
                <w:lang w:val="en-US"/>
              </w:rPr>
              <w:t xml:space="preserve">. </w:t>
            </w:r>
          </w:p>
          <w:p w:rsidRPr="004F319D" w:rsidR="004F319D" w:rsidP="004F319D" w:rsidRDefault="004F319D" w14:paraId="50A0526C" w14:textId="77777777">
            <w:pPr>
              <w:pStyle w:val="BulletedList"/>
            </w:pPr>
            <w:r w:rsidRPr="00181E5D">
              <w:rPr>
                <w:b/>
                <w:bCs/>
                <w:lang w:val="en-US"/>
              </w:rPr>
              <w:t>Integrate</w:t>
            </w:r>
            <w:r>
              <w:rPr>
                <w:lang w:val="en-US"/>
              </w:rPr>
              <w:t xml:space="preserve"> through ERMIS to coordinate data and standardize service delivery. </w:t>
            </w:r>
          </w:p>
          <w:p w:rsidRPr="00832509" w:rsidR="004F319D" w:rsidP="004F319D" w:rsidRDefault="004F319D" w14:paraId="606E10A4" w14:textId="77777777">
            <w:pPr>
              <w:pStyle w:val="BulletedList"/>
            </w:pPr>
            <w:r w:rsidRPr="00181E5D">
              <w:rPr>
                <w:b/>
                <w:bCs/>
                <w:lang w:val="en-US"/>
              </w:rPr>
              <w:t xml:space="preserve">Support the EU “Point of Single Contact” </w:t>
            </w:r>
            <w:r>
              <w:rPr>
                <w:lang w:val="en-US"/>
              </w:rPr>
              <w:t>concept.</w:t>
            </w:r>
          </w:p>
          <w:p w:rsidRPr="00775FF9" w:rsidR="00E549C3" w:rsidP="00832509" w:rsidRDefault="00E549C3" w14:paraId="0D64D1B5" w14:textId="588353B3">
            <w:pPr>
              <w:pStyle w:val="Sourcenotes"/>
            </w:pPr>
            <w:r>
              <w:t>Source: Data collected through TSI Country Mission to Greece, 2025.</w:t>
            </w:r>
          </w:p>
        </w:tc>
      </w:tr>
    </w:tbl>
    <w:p w:rsidR="004F319D" w:rsidP="000E0C36" w:rsidRDefault="00B20BF1" w14:paraId="552DEE8F" w14:textId="6D78ABC0">
      <w:pPr>
        <w:pStyle w:val="Para"/>
        <w:numPr>
          <w:ilvl w:val="0"/>
          <w:numId w:val="0"/>
        </w:numPr>
        <w:rPr>
          <w:lang w:val="en-US"/>
        </w:rPr>
      </w:pPr>
      <w:r>
        <w:rPr>
          <w:lang w:val="en-US"/>
        </w:rPr>
        <w:t>In addition to providing physical access across a range of services, Croatia has adapted the access to specific Life Events, depending on the needs of the user (</w:t>
      </w:r>
      <w:r>
        <w:rPr>
          <w:lang w:val="en-US"/>
        </w:rPr>
        <w:fldChar w:fldCharType="begin"/>
      </w:r>
      <w:r>
        <w:rPr>
          <w:lang w:val="en-US"/>
        </w:rPr>
        <w:instrText xml:space="preserve"> REF _Ref215518007 \h </w:instrText>
      </w:r>
      <w:r>
        <w:rPr>
          <w:lang w:val="en-US"/>
        </w:rPr>
      </w:r>
      <w:r>
        <w:rPr>
          <w:lang w:val="en-US"/>
        </w:rPr>
        <w:fldChar w:fldCharType="separate"/>
      </w:r>
      <w:r w:rsidRPr="00B44A50" w:rsidR="00543B3D">
        <w:t>Box</w:t>
      </w:r>
      <w:r w:rsidR="00543B3D">
        <w:t> </w:t>
      </w:r>
      <w:r w:rsidR="00543B3D">
        <w:rPr>
          <w:noProof/>
        </w:rPr>
        <w:t>2</w:t>
      </w:r>
      <w:r w:rsidR="00543B3D">
        <w:t>.</w:t>
      </w:r>
      <w:r w:rsidR="00543B3D">
        <w:rPr>
          <w:noProof/>
        </w:rPr>
        <w:t>12</w:t>
      </w:r>
      <w:r>
        <w:rPr>
          <w:lang w:val="en-US"/>
        </w:rPr>
        <w:fldChar w:fldCharType="end"/>
      </w:r>
      <w:r>
        <w:rPr>
          <w:lang w:val="en-US"/>
        </w:rPr>
        <w:t xml:space="preserve">).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831E49" w14:paraId="361E8F96"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831E49" w:rsidP="005845F7" w:rsidRDefault="005845F7" w14:paraId="2CF59A92" w14:textId="32C751C8">
            <w:pPr>
              <w:pStyle w:val="Caption"/>
              <w:spacing w:line="240" w:lineRule="auto"/>
            </w:pPr>
            <w:bookmarkStart w:name="_Ref215518007" w:id="58"/>
            <w:bookmarkStart w:name="_Toc223413803" w:id="59"/>
            <w:r>
              <w:rPr>
                <w:noProof/>
              </w:rPr>
              <w:drawing>
                <wp:anchor distT="0" distB="0" distL="114300" distR="114300" simplePos="0" relativeHeight="251658279" behindDoc="0" locked="0" layoutInCell="1" allowOverlap="1" wp14:anchorId="30B9145A" wp14:editId="7B0AA621">
                  <wp:simplePos x="0" y="0"/>
                  <wp:positionH relativeFrom="column">
                    <wp:posOffset>-635</wp:posOffset>
                  </wp:positionH>
                  <wp:positionV relativeFrom="paragraph">
                    <wp:posOffset>230456</wp:posOffset>
                  </wp:positionV>
                  <wp:extent cx="914400" cy="914400"/>
                  <wp:effectExtent l="0" t="0" r="0" b="0"/>
                  <wp:wrapSquare wrapText="bothSides"/>
                  <wp:docPr id="1841023516" name="Graphic 2" descr="Employee badg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023516" name="Graphic 1841023516" descr="Employee badge with solid fill"/>
                          <pic:cNvPicPr/>
                        </pic:nvPicPr>
                        <pic:blipFill>
                          <a:blip r:embed="rId47">
                            <a:extLst>
                              <a:ext uri="{96DAC541-7B7A-43D3-8B79-37D633B846F1}">
                                <asvg:svgBlip xmlns:asvg="http://schemas.microsoft.com/office/drawing/2016/SVG/main" r:embed="rId48"/>
                              </a:ext>
                            </a:extLst>
                          </a:blip>
                          <a:stretch>
                            <a:fillRect/>
                          </a:stretch>
                        </pic:blipFill>
                        <pic:spPr>
                          <a:xfrm>
                            <a:off x="0" y="0"/>
                            <a:ext cx="914400" cy="914400"/>
                          </a:xfrm>
                          <a:prstGeom prst="rect">
                            <a:avLst/>
                          </a:prstGeom>
                        </pic:spPr>
                      </pic:pic>
                    </a:graphicData>
                  </a:graphic>
                </wp:anchor>
              </w:drawing>
            </w:r>
            <w:r w:rsidRPr="00EF798A" w:rsidR="00831E49">
              <w:rPr>
                <w:noProof/>
              </w:rPr>
              <w:drawing>
                <wp:anchor distT="0" distB="0" distL="114300" distR="114300" simplePos="0" relativeHeight="251658278" behindDoc="1" locked="0" layoutInCell="1" allowOverlap="1" wp14:anchorId="4D7745FB" wp14:editId="73C49BE0">
                  <wp:simplePos x="0" y="0"/>
                  <wp:positionH relativeFrom="column">
                    <wp:posOffset>4706278</wp:posOffset>
                  </wp:positionH>
                  <wp:positionV relativeFrom="paragraph">
                    <wp:posOffset>200513</wp:posOffset>
                  </wp:positionV>
                  <wp:extent cx="879475" cy="439420"/>
                  <wp:effectExtent l="0" t="0" r="0" b="0"/>
                  <wp:wrapTight wrapText="bothSides">
                    <wp:wrapPolygon edited="0">
                      <wp:start x="0" y="0"/>
                      <wp:lineTo x="0" y="20601"/>
                      <wp:lineTo x="21054" y="20601"/>
                      <wp:lineTo x="21054" y="0"/>
                      <wp:lineTo x="0" y="0"/>
                    </wp:wrapPolygon>
                  </wp:wrapTight>
                  <wp:docPr id="1855746586" name="Picture 1" descr="A flag with a red white and blue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91042" name="Picture 1" descr="A flag with a red white and blue flag&#10;&#10;AI-generated content may be incorrec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79475" cy="439420"/>
                          </a:xfrm>
                          <a:prstGeom prst="rect">
                            <a:avLst/>
                          </a:prstGeom>
                        </pic:spPr>
                      </pic:pic>
                    </a:graphicData>
                  </a:graphic>
                  <wp14:sizeRelH relativeFrom="margin">
                    <wp14:pctWidth>0</wp14:pctWidth>
                  </wp14:sizeRelH>
                  <wp14:sizeRelV relativeFrom="margin">
                    <wp14:pctHeight>0</wp14:pctHeight>
                  </wp14:sizeRelV>
                </wp:anchor>
              </w:drawing>
            </w:r>
            <w:r w:rsidRPr="00B44A50" w:rsidR="00831E49">
              <w:t>Box</w:t>
            </w:r>
            <w:r w:rsidR="00831E49">
              <w:t> </w:t>
            </w:r>
            <w:r w:rsidR="00831E49">
              <w:rPr>
                <w:noProof/>
              </w:rPr>
              <w:fldChar w:fldCharType="begin"/>
            </w:r>
            <w:r w:rsidR="00831E49">
              <w:rPr>
                <w:noProof/>
              </w:rPr>
              <w:instrText xml:space="preserve"> STYLEREF 1 \s </w:instrText>
            </w:r>
            <w:r w:rsidR="00831E49">
              <w:rPr>
                <w:noProof/>
              </w:rPr>
              <w:fldChar w:fldCharType="separate"/>
            </w:r>
            <w:r w:rsidR="00543B3D">
              <w:rPr>
                <w:noProof/>
              </w:rPr>
              <w:t>2</w:t>
            </w:r>
            <w:r w:rsidR="00831E49">
              <w:rPr>
                <w:noProof/>
              </w:rPr>
              <w:fldChar w:fldCharType="end"/>
            </w:r>
            <w:r w:rsidR="00831E49">
              <w:t>.</w:t>
            </w:r>
            <w:r w:rsidR="00831E49">
              <w:rPr>
                <w:noProof/>
              </w:rPr>
              <w:fldChar w:fldCharType="begin"/>
            </w:r>
            <w:r w:rsidR="00831E49">
              <w:rPr>
                <w:noProof/>
              </w:rPr>
              <w:instrText xml:space="preserve"> SEQ Box \* ARABIC \s 1 </w:instrText>
            </w:r>
            <w:r w:rsidR="00831E49">
              <w:rPr>
                <w:noProof/>
              </w:rPr>
              <w:fldChar w:fldCharType="separate"/>
            </w:r>
            <w:r w:rsidR="00543B3D">
              <w:rPr>
                <w:noProof/>
              </w:rPr>
              <w:t>12</w:t>
            </w:r>
            <w:r w:rsidR="00831E49">
              <w:rPr>
                <w:noProof/>
              </w:rPr>
              <w:fldChar w:fldCharType="end"/>
            </w:r>
            <w:bookmarkEnd w:id="58"/>
            <w:r w:rsidR="00831E49">
              <w:t xml:space="preserve">. </w:t>
            </w:r>
            <w:r w:rsidR="00A40062">
              <w:t xml:space="preserve">Croatia - </w:t>
            </w:r>
            <w:r>
              <w:t>Adapting Life Event delivery to types of access required by users</w:t>
            </w:r>
            <w:bookmarkEnd w:id="59"/>
            <w:r>
              <w:t xml:space="preserve"> </w:t>
            </w:r>
            <w:r w:rsidR="00831E49">
              <w:t xml:space="preserve"> </w:t>
            </w:r>
          </w:p>
          <w:p w:rsidR="00E549C3" w:rsidP="00591A9A" w:rsidRDefault="00B16E80" w14:paraId="5B3EF9B9" w14:textId="77777777">
            <w:pPr>
              <w:pStyle w:val="Para0"/>
            </w:pPr>
            <w:r>
              <w:t xml:space="preserve">To get or renew an ID card in </w:t>
            </w:r>
            <w:r w:rsidRPr="00832509">
              <w:rPr>
                <w:b/>
                <w:bCs/>
              </w:rPr>
              <w:t>Croatia</w:t>
            </w:r>
            <w:r>
              <w:t xml:space="preserve">, citizens must access one of 118 offices (police administrations) that are located across the country. </w:t>
            </w:r>
            <w:r w:rsidR="005C2D22">
              <w:t xml:space="preserve">Clear information is provided online to support citizens in identifying the office </w:t>
            </w:r>
            <w:r w:rsidR="00A91ABE">
              <w:t>mandated to issue the ID card. Where persons cannot access physically one of the 118 offices</w:t>
            </w:r>
            <w:r w:rsidR="006D10C9">
              <w:t xml:space="preserve"> (e.g. due to illness)</w:t>
            </w:r>
            <w:r w:rsidR="00A91ABE">
              <w:t xml:space="preserve">, </w:t>
            </w:r>
            <w:r w:rsidR="006D10C9">
              <w:t>the individual can call the local police station to make an appointment for a</w:t>
            </w:r>
            <w:r w:rsidR="00BB66AA">
              <w:t xml:space="preserve"> home visit from the Ministry of Interior. Mobile equipment has been developed to support users who cannot physically access the service to meet their needs. </w:t>
            </w:r>
          </w:p>
          <w:p w:rsidRPr="00775FF9" w:rsidR="00831E49" w:rsidP="00832509" w:rsidRDefault="00831E49" w14:paraId="5BA077BE" w14:textId="58449CC4">
            <w:pPr>
              <w:pStyle w:val="Sourcenotes"/>
            </w:pPr>
            <w:r>
              <w:t>Source: Data collected through TSI Country Mission to Croatia, May 2025</w:t>
            </w:r>
            <w:r w:rsidR="00E549C3">
              <w:t>.</w:t>
            </w:r>
            <w:r>
              <w:t xml:space="preserve"> </w:t>
            </w:r>
          </w:p>
        </w:tc>
      </w:tr>
    </w:tbl>
    <w:p w:rsidR="00006EEA" w:rsidP="00B013C3" w:rsidRDefault="00006EEA" w14:paraId="4B74B791" w14:textId="64D926E0">
      <w:pPr>
        <w:pStyle w:val="Heading4"/>
        <w:rPr>
          <w:lang w:val="en-US"/>
        </w:rPr>
      </w:pPr>
      <w:r>
        <w:rPr>
          <w:lang w:val="en-US"/>
        </w:rPr>
        <w:t xml:space="preserve">Optimising digital services for the deployment of Life Events </w:t>
      </w:r>
    </w:p>
    <w:p w:rsidRPr="00BB3860" w:rsidR="00BB3860" w:rsidP="00D851BE" w:rsidRDefault="00BB3860" w14:paraId="2A03A910" w14:textId="6EB0E7A8">
      <w:pPr>
        <w:pStyle w:val="Para"/>
        <w:numPr>
          <w:ilvl w:val="0"/>
          <w:numId w:val="0"/>
        </w:numPr>
        <w:rPr>
          <w:lang w:val="en-US"/>
        </w:rPr>
      </w:pPr>
      <w:r w:rsidRPr="00832509">
        <w:rPr>
          <w:b/>
          <w:bCs/>
          <w:lang w:val="en-US"/>
        </w:rPr>
        <w:t>While the development of an omni-channel approach is vital to ensure users’ needs are met, the Satisfaction Survey found that the</w:t>
      </w:r>
      <w:r>
        <w:rPr>
          <w:lang w:val="en-US"/>
        </w:rPr>
        <w:t xml:space="preserve"> </w:t>
      </w:r>
      <w:r>
        <w:rPr>
          <w:b/>
          <w:bCs/>
          <w:lang w:val="en-US"/>
        </w:rPr>
        <w:t>ease of using the digital channel is highly correlated with satisfaction</w:t>
      </w:r>
      <w:r w:rsidR="00B20BF1">
        <w:rPr>
          <w:b/>
          <w:bCs/>
          <w:lang w:val="en-US"/>
        </w:rPr>
        <w:t xml:space="preserve"> </w:t>
      </w:r>
      <w:r w:rsidR="00B20BF1">
        <w:rPr>
          <w:lang w:val="en-US"/>
        </w:rPr>
        <w:t>(</w:t>
      </w:r>
      <w:r w:rsidR="00B20BF1">
        <w:rPr>
          <w:lang w:val="en-US"/>
        </w:rPr>
        <w:fldChar w:fldCharType="begin"/>
      </w:r>
      <w:r w:rsidR="00B20BF1">
        <w:rPr>
          <w:lang w:val="en-US"/>
        </w:rPr>
        <w:instrText xml:space="preserve"> REF _Ref215518047 \h </w:instrText>
      </w:r>
      <w:r w:rsidR="00B20BF1">
        <w:rPr>
          <w:lang w:val="en-US"/>
        </w:rPr>
      </w:r>
      <w:r w:rsidR="00B20BF1">
        <w:rPr>
          <w:lang w:val="en-US"/>
        </w:rPr>
        <w:fldChar w:fldCharType="separate"/>
      </w:r>
      <w:r w:rsidR="00543B3D">
        <w:t>Figure </w:t>
      </w:r>
      <w:r w:rsidR="00543B3D">
        <w:rPr>
          <w:noProof/>
        </w:rPr>
        <w:t>2</w:t>
      </w:r>
      <w:r w:rsidR="00543B3D">
        <w:t>.</w:t>
      </w:r>
      <w:r w:rsidR="00543B3D">
        <w:rPr>
          <w:noProof/>
        </w:rPr>
        <w:t>5</w:t>
      </w:r>
      <w:r w:rsidR="00B20BF1">
        <w:rPr>
          <w:lang w:val="en-US"/>
        </w:rPr>
        <w:fldChar w:fldCharType="end"/>
      </w:r>
      <w:r w:rsidR="00B20BF1">
        <w:rPr>
          <w:lang w:val="en-US"/>
        </w:rPr>
        <w:t>)</w:t>
      </w:r>
      <w:r>
        <w:rPr>
          <w:b/>
          <w:bCs/>
          <w:lang w:val="en-US"/>
        </w:rPr>
        <w:t xml:space="preserve">. </w:t>
      </w:r>
      <w:r>
        <w:rPr>
          <w:lang w:val="en-US"/>
        </w:rPr>
        <w:t xml:space="preserve">This is particularly the case for Life Events that are mostly online-based such as filing income taxes or lost/looking for a job. The connection is weaker for Life Events that are mainly experienced in person, such as losing a loved one. </w:t>
      </w:r>
    </w:p>
    <w:p w:rsidR="00BB3860" w:rsidP="00BB3860" w:rsidRDefault="00BB3860" w14:paraId="4E233767" w14:textId="0BE584FF">
      <w:pPr>
        <w:pStyle w:val="Caption"/>
      </w:pPr>
      <w:bookmarkStart w:name="_Ref215518047" w:id="60"/>
      <w:bookmarkStart w:name="_Toc223413762" w:id="61"/>
      <w:r>
        <w:t>Figure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5</w:t>
      </w:r>
      <w:r>
        <w:rPr>
          <w:noProof/>
        </w:rPr>
        <w:fldChar w:fldCharType="end"/>
      </w:r>
      <w:bookmarkEnd w:id="60"/>
      <w:r>
        <w:t>. Ease of using digital tool is highly associated with satisfaction for life events that are often experienced through online channels</w:t>
      </w:r>
      <w:bookmarkEnd w:id="61"/>
    </w:p>
    <w:p w:rsidR="00BB3860" w:rsidP="00BB3860" w:rsidRDefault="00BB3860" w14:paraId="0899F37B" w14:textId="77777777">
      <w:pPr>
        <w:pStyle w:val="Figure"/>
        <w:rPr>
          <w:noProof/>
        </w:rPr>
      </w:pPr>
      <w:r>
        <w:rPr>
          <w:noProof/>
        </w:rPr>
        <w:drawing>
          <wp:inline distT="0" distB="0" distL="0" distR="0" wp14:anchorId="3A63A68A" wp14:editId="1BF8C138">
            <wp:extent cx="5486400" cy="3876710"/>
            <wp:effectExtent l="0" t="0" r="0" b="9525"/>
            <wp:docPr id="4254171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89627" cy="3878990"/>
                    </a:xfrm>
                    <a:prstGeom prst="rect">
                      <a:avLst/>
                    </a:prstGeom>
                    <a:noFill/>
                    <a:ln>
                      <a:noFill/>
                    </a:ln>
                  </pic:spPr>
                </pic:pic>
              </a:graphicData>
            </a:graphic>
          </wp:inline>
        </w:drawing>
      </w:r>
    </w:p>
    <w:p w:rsidRPr="008556CD" w:rsidR="00BB3860" w:rsidP="008556CD" w:rsidRDefault="00BB3860" w14:paraId="79C876AF" w14:textId="42DDAFC4">
      <w:pPr>
        <w:pStyle w:val="Sourcenotes"/>
      </w:pPr>
      <w:r w:rsidRPr="004802B4">
        <w:t xml:space="preserve">Source: </w:t>
      </w:r>
      <w:sdt>
        <w:sdtPr>
          <w:id w:val="274997147"/>
          <w:citation/>
        </w:sdtPr>
        <w:sdtEndPr/>
        <w:sdtContent>
          <w:r>
            <w:fldChar w:fldCharType="begin"/>
          </w:r>
          <w:r>
            <w:instrText xml:space="preserve"> CITATION Mend_I5iOc2w6yDG7UBAYJdq___g \l 2057 </w:instrText>
          </w:r>
          <w:r>
            <w:fldChar w:fldCharType="separate"/>
          </w:r>
          <w:r w:rsidRPr="00F86F21" w:rsidR="00F86F21">
            <w:rPr>
              <w:noProof/>
            </w:rPr>
            <w:t>(OECD, 2024</w:t>
          </w:r>
          <w:r w:rsidRPr="00F86F21" w:rsidR="00F86F21">
            <w:rPr>
              <w:noProof/>
              <w:vertAlign w:val="subscript"/>
            </w:rPr>
            <w:t>[15]</w:t>
          </w:r>
          <w:r w:rsidRPr="00F86F21" w:rsidR="00F86F21">
            <w:rPr>
              <w:noProof/>
            </w:rPr>
            <w:t>)</w:t>
          </w:r>
          <w:r>
            <w:fldChar w:fldCharType="end"/>
          </w:r>
        </w:sdtContent>
      </w:sdt>
      <w:r>
        <w:t>.</w:t>
      </w:r>
    </w:p>
    <w:p w:rsidR="00006EEA" w:rsidP="00F67734" w:rsidRDefault="00D851BE" w14:paraId="3A634D81" w14:textId="70FA8549">
      <w:pPr>
        <w:pStyle w:val="Para"/>
        <w:numPr>
          <w:ilvl w:val="0"/>
          <w:numId w:val="0"/>
        </w:numPr>
        <w:rPr>
          <w:lang w:val="en-US"/>
        </w:rPr>
      </w:pPr>
      <w:r w:rsidRPr="00832509">
        <w:rPr>
          <w:b/>
          <w:bCs/>
          <w:lang w:val="en-US"/>
        </w:rPr>
        <w:t>Countries are at different level of maturity in relation to the delivery of digital public services.</w:t>
      </w:r>
      <w:r>
        <w:rPr>
          <w:lang w:val="en-US"/>
        </w:rPr>
        <w:t xml:space="preserve"> </w:t>
      </w:r>
      <w:r w:rsidR="00F11A23">
        <w:rPr>
          <w:lang w:val="en-US"/>
        </w:rPr>
        <w:t xml:space="preserve">Countries have focused on the digitalization of public services through specific </w:t>
      </w:r>
      <w:r w:rsidR="00F67734">
        <w:rPr>
          <w:lang w:val="en-US"/>
        </w:rPr>
        <w:t>Action Plans and programmes, as in Finland (</w:t>
      </w:r>
      <w:r w:rsidR="00F67734">
        <w:rPr>
          <w:lang w:val="en-US"/>
        </w:rPr>
        <w:fldChar w:fldCharType="begin"/>
      </w:r>
      <w:r w:rsidR="00F67734">
        <w:rPr>
          <w:lang w:val="en-US"/>
        </w:rPr>
        <w:instrText xml:space="preserve"> REF _Ref215518176 \h </w:instrText>
      </w:r>
      <w:r w:rsidR="00F67734">
        <w:rPr>
          <w:lang w:val="en-US"/>
        </w:rPr>
      </w:r>
      <w:r w:rsidR="00F67734">
        <w:rPr>
          <w:lang w:val="en-US"/>
        </w:rPr>
        <w:fldChar w:fldCharType="separate"/>
      </w:r>
      <w:r w:rsidRPr="00B44A50" w:rsidR="00543B3D">
        <w:t>Box</w:t>
      </w:r>
      <w:r w:rsidR="00543B3D">
        <w:t> </w:t>
      </w:r>
      <w:r w:rsidR="00543B3D">
        <w:rPr>
          <w:noProof/>
        </w:rPr>
        <w:t>2</w:t>
      </w:r>
      <w:r w:rsidR="00543B3D">
        <w:t>.</w:t>
      </w:r>
      <w:r w:rsidR="00543B3D">
        <w:rPr>
          <w:noProof/>
        </w:rPr>
        <w:t>13</w:t>
      </w:r>
      <w:r w:rsidR="00F67734">
        <w:rPr>
          <w:lang w:val="en-US"/>
        </w:rPr>
        <w:fldChar w:fldCharType="end"/>
      </w:r>
      <w:r w:rsidR="00F67734">
        <w:rPr>
          <w:lang w:val="en-US"/>
        </w:rPr>
        <w:t xml:space="preserve">). </w:t>
      </w:r>
    </w:p>
    <w:p w:rsidR="005107F8" w:rsidP="005107F8" w:rsidRDefault="005107F8" w14:paraId="4DC8DC14" w14:textId="098B9451">
      <w:pPr>
        <w:pStyle w:val="Para"/>
        <w:numPr>
          <w:ilvl w:val="0"/>
          <w:numId w:val="0"/>
        </w:numPr>
        <w:rPr>
          <w:lang w:val="en-US"/>
        </w:rPr>
      </w:pPr>
      <w:r w:rsidRPr="00832509">
        <w:rPr>
          <w:b/>
          <w:bCs/>
          <w:lang w:val="en-US"/>
        </w:rPr>
        <w:t xml:space="preserve">While some countries have high maturity levels in relation to digital public services, challenges still exist. </w:t>
      </w:r>
      <w:r w:rsidR="00317C73">
        <w:rPr>
          <w:lang w:val="en-US"/>
        </w:rPr>
        <w:t xml:space="preserve">For instance, </w:t>
      </w:r>
      <w:r>
        <w:rPr>
          <w:lang w:val="en-US"/>
        </w:rPr>
        <w:t xml:space="preserve">Estonia, a country delivering 99% of public services online, has identified bottlenecks when the business case for delivering digital public services is not thought through before IT development. Needs exist to ensure effective coordination between digital, legal and policy expertise prior to IT development. Moreover, there is a lack of coherent understanding of good digital services and their development. </w:t>
      </w:r>
    </w:p>
    <w:p w:rsidRPr="00006EEA" w:rsidR="005107F8" w:rsidP="00F67734" w:rsidRDefault="005107F8" w14:paraId="79527BB2" w14:textId="77777777">
      <w:pPr>
        <w:pStyle w:val="Para"/>
        <w:numPr>
          <w:ilvl w:val="0"/>
          <w:numId w:val="0"/>
        </w:numPr>
        <w:rPr>
          <w:lang w:val="en-US"/>
        </w:rPr>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006EEA" w14:paraId="6B606202"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006EEA" w:rsidRDefault="00006EEA" w14:paraId="57B32445" w14:textId="4FF67C83">
            <w:pPr>
              <w:pStyle w:val="Caption"/>
            </w:pPr>
            <w:bookmarkStart w:name="_Ref215518176" w:id="62"/>
            <w:bookmarkStart w:name="_Toc223413804" w:id="63"/>
            <w:r>
              <w:rPr>
                <w:noProof/>
              </w:rPr>
              <w:drawing>
                <wp:anchor distT="0" distB="0" distL="114300" distR="114300" simplePos="0" relativeHeight="251658270" behindDoc="1" locked="0" layoutInCell="1" allowOverlap="1" wp14:anchorId="6B9CE49B" wp14:editId="7CFAEE23">
                  <wp:simplePos x="0" y="0"/>
                  <wp:positionH relativeFrom="column">
                    <wp:posOffset>4643022</wp:posOffset>
                  </wp:positionH>
                  <wp:positionV relativeFrom="paragraph">
                    <wp:posOffset>109513</wp:posOffset>
                  </wp:positionV>
                  <wp:extent cx="995125" cy="608965"/>
                  <wp:effectExtent l="0" t="0" r="0" b="635"/>
                  <wp:wrapTight wrapText="bothSides">
                    <wp:wrapPolygon edited="0">
                      <wp:start x="0" y="0"/>
                      <wp:lineTo x="0" y="20947"/>
                      <wp:lineTo x="21090" y="20947"/>
                      <wp:lineTo x="21090" y="0"/>
                      <wp:lineTo x="0" y="0"/>
                    </wp:wrapPolygon>
                  </wp:wrapTight>
                  <wp:docPr id="2078005454" name="Picture 1" descr="A blue cros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63103" name="Picture 1" descr="A blue cross on a white background&#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95125" cy="608965"/>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13</w:t>
            </w:r>
            <w:r>
              <w:rPr>
                <w:noProof/>
              </w:rPr>
              <w:fldChar w:fldCharType="end"/>
            </w:r>
            <w:bookmarkEnd w:id="62"/>
            <w:r>
              <w:t xml:space="preserve">. </w:t>
            </w:r>
            <w:r w:rsidR="00A40062">
              <w:t xml:space="preserve">Finland - </w:t>
            </w:r>
            <w:r>
              <w:t>Enhancement of digital services</w:t>
            </w:r>
            <w:bookmarkEnd w:id="63"/>
            <w:r>
              <w:t xml:space="preserve"> </w:t>
            </w:r>
          </w:p>
          <w:p w:rsidR="00006EEA" w:rsidRDefault="00006EEA" w14:paraId="0E8348CE" w14:textId="77777777">
            <w:pPr>
              <w:pStyle w:val="BoxHeading"/>
              <w:keepNext w:val="0"/>
            </w:pPr>
            <w:r w:rsidRPr="004260A1">
              <w:t>Programme to promote life-event-based digitalisation in Finland</w:t>
            </w:r>
          </w:p>
          <w:p w:rsidR="00006EEA" w:rsidRDefault="00006EEA" w14:paraId="5D8CC33A" w14:textId="32AC4989">
            <w:pPr>
              <w:pStyle w:val="Para"/>
              <w:numPr>
                <w:ilvl w:val="0"/>
                <w:numId w:val="0"/>
              </w:numPr>
            </w:pPr>
            <w:r w:rsidRPr="00832509">
              <w:rPr>
                <w:b/>
                <w:bCs/>
              </w:rPr>
              <w:t>Finland</w:t>
            </w:r>
            <w:r>
              <w:t xml:space="preserve"> is taking steps to create more seamless and human-centred digital public services by organising service delivery around key life and business events. Led by the Ministry of Finance and co-ordinated by DVV, the Digital and Population Data Services Agency, the initiative aims </w:t>
            </w:r>
            <w:r w:rsidR="004E57AF">
              <w:t xml:space="preserve">to </w:t>
            </w:r>
            <w:r>
              <w:t>find possibilities to digitalise and automate service processes to make it easier and faster for users to obtain their services, and to reduce administrative paperwork and costs for responsible authorities.</w:t>
            </w:r>
          </w:p>
          <w:p w:rsidR="00006EEA" w:rsidRDefault="00006EEA" w14:paraId="7C2A7157" w14:textId="77777777">
            <w:pPr>
              <w:pStyle w:val="Para"/>
              <w:numPr>
                <w:ilvl w:val="0"/>
                <w:numId w:val="0"/>
              </w:numPr>
            </w:pPr>
            <w:r>
              <w:t>The programme will prepare and support projects that digitalise end-to-end service journeys for major life events, such as starting a business or becoming a parent. Over the course of the current government term, it seeks to generate at least ten scalable project concepts ready for implementation and to establish a long-term roadmap for life-event-driven digital services up to 2030. These actions contribute to the national target of defining and digitalising around 40 key life and business event service packages.</w:t>
            </w:r>
          </w:p>
          <w:p w:rsidR="00006EEA" w:rsidP="006A4BFF" w:rsidRDefault="00006EEA" w14:paraId="73E4A74A" w14:textId="2F8A058F">
            <w:pPr>
              <w:pStyle w:val="Para"/>
              <w:numPr>
                <w:ilvl w:val="0"/>
                <w:numId w:val="0"/>
              </w:numPr>
            </w:pPr>
            <w:r>
              <w:t>To ensure broad adoption and foster collaboration, the programme will also develop an inclusive cooperation model and launch a developer network for experts across government, wellbeing services counties, municipalities and relevant stakeholders. This community will serve as a platform for knowledge sharing, co-creation and the spread of best practices. A strategic steering group representing key public sector actors will guide and monitor the programme.</w:t>
            </w:r>
          </w:p>
          <w:p w:rsidRPr="00775FF9" w:rsidR="00006EEA" w:rsidRDefault="00006EEA" w14:paraId="25F2B6ED" w14:textId="141D3E45">
            <w:pPr>
              <w:pStyle w:val="Sourcenotes"/>
            </w:pPr>
            <w:r>
              <w:t>Source: Information obtained in country mission in May 2025</w:t>
            </w:r>
            <w:r w:rsidR="006A4BFF">
              <w:t xml:space="preserve"> as part of this TSI</w:t>
            </w:r>
            <w:r>
              <w:t xml:space="preserve">; </w:t>
            </w:r>
            <w:sdt>
              <w:sdtPr>
                <w:id w:val="-608740165"/>
                <w:citation/>
              </w:sdtPr>
              <w:sdtEndPr/>
              <w:sdtContent>
                <w:r>
                  <w:fldChar w:fldCharType="begin"/>
                </w:r>
                <w:r>
                  <w:instrText xml:space="preserve"> CITATION Mend_VGDm34Ed7TiY8LIGdBFSCw \l 2057 </w:instrText>
                </w:r>
                <w:r>
                  <w:fldChar w:fldCharType="separate"/>
                </w:r>
                <w:r w:rsidRPr="00F86F21" w:rsidR="00F86F21">
                  <w:rPr>
                    <w:noProof/>
                  </w:rPr>
                  <w:t>(</w:t>
                </w:r>
                <w:bookmarkStart w:name="Mend_VGDm34Ed7TiY8LIGdBFSCw_16" w:id="64"/>
                <w:r w:rsidRPr="00F86F21" w:rsidR="00F86F21">
                  <w:rPr>
                    <w:noProof/>
                  </w:rPr>
                  <w:t>Ministry of Finance, n.d.</w:t>
                </w:r>
                <w:r w:rsidRPr="00F86F21" w:rsidR="00F86F21">
                  <w:rPr>
                    <w:noProof/>
                    <w:vertAlign w:val="subscript"/>
                  </w:rPr>
                  <w:t>[16]</w:t>
                </w:r>
                <w:r w:rsidRPr="00F86F21" w:rsidR="00F86F21">
                  <w:rPr>
                    <w:noProof/>
                  </w:rPr>
                  <w:t>)</w:t>
                </w:r>
                <w:bookmarkEnd w:id="64"/>
                <w:r>
                  <w:fldChar w:fldCharType="end"/>
                </w:r>
              </w:sdtContent>
            </w:sdt>
            <w:r>
              <w:t>.</w:t>
            </w:r>
          </w:p>
        </w:tc>
      </w:tr>
    </w:tbl>
    <w:p w:rsidRPr="00870733" w:rsidR="00CA1B7D" w:rsidP="00E0047A" w:rsidRDefault="00CA1B7D" w14:paraId="51FBFEC6" w14:textId="7F925CF2">
      <w:pPr>
        <w:pStyle w:val="Heading2"/>
      </w:pPr>
      <w:bookmarkStart w:name="_Ref215433652" w:id="65"/>
      <w:bookmarkStart w:name="_Toc223413731" w:id="66"/>
      <w:r w:rsidRPr="00870733">
        <w:t xml:space="preserve">Tools for </w:t>
      </w:r>
      <w:r w:rsidR="002B6090">
        <w:t>supporting Access to Public Services for Users</w:t>
      </w:r>
      <w:bookmarkEnd w:id="65"/>
      <w:bookmarkEnd w:id="66"/>
      <w:r w:rsidR="002B6090">
        <w:t xml:space="preserve"> </w:t>
      </w:r>
    </w:p>
    <w:p w:rsidR="00BA60B9" w:rsidP="002B6090" w:rsidRDefault="002B6090" w14:paraId="198FD1CD" w14:textId="028FD129">
      <w:pPr>
        <w:pStyle w:val="Para"/>
        <w:numPr>
          <w:ilvl w:val="0"/>
          <w:numId w:val="0"/>
        </w:numPr>
      </w:pPr>
      <w:r w:rsidRPr="00832509">
        <w:rPr>
          <w:b/>
          <w:bCs/>
        </w:rPr>
        <w:t xml:space="preserve">Several tools have been identified that can support countries in </w:t>
      </w:r>
      <w:r w:rsidRPr="00832509" w:rsidR="00A56105">
        <w:rPr>
          <w:b/>
          <w:bCs/>
        </w:rPr>
        <w:t xml:space="preserve">supporting User Access to Services, ensuring that (i) </w:t>
      </w:r>
      <w:r w:rsidRPr="00D20983" w:rsidR="00A56105">
        <w:rPr>
          <w:b/>
          <w:bCs/>
        </w:rPr>
        <w:t>users are placed at the centre</w:t>
      </w:r>
      <w:r w:rsidRPr="00832509" w:rsidR="00A56105">
        <w:rPr>
          <w:b/>
          <w:bCs/>
        </w:rPr>
        <w:t xml:space="preserve"> in the development of public services, (ii) services are </w:t>
      </w:r>
      <w:r w:rsidRPr="00D20983" w:rsidR="00A56105">
        <w:rPr>
          <w:b/>
          <w:bCs/>
        </w:rPr>
        <w:t>proactive</w:t>
      </w:r>
      <w:r w:rsidRPr="00832509" w:rsidR="00A56105">
        <w:rPr>
          <w:b/>
          <w:bCs/>
        </w:rPr>
        <w:t xml:space="preserve"> and (iii) </w:t>
      </w:r>
      <w:r w:rsidRPr="00D20983" w:rsidR="00A56105">
        <w:rPr>
          <w:b/>
          <w:bCs/>
        </w:rPr>
        <w:t>accessible</w:t>
      </w:r>
      <w:r w:rsidRPr="00832509" w:rsidR="00A56105">
        <w:rPr>
          <w:b/>
          <w:bCs/>
        </w:rPr>
        <w:t xml:space="preserve">. </w:t>
      </w:r>
      <w:r w:rsidR="000966A9">
        <w:t xml:space="preserve">The deployment of the tools proposed cannot be undertaken in parallel, with some tools </w:t>
      </w:r>
      <w:r w:rsidR="00494671">
        <w:t>needing to be introduced before other tools are deployed</w:t>
      </w:r>
      <w:r w:rsidR="000C1532">
        <w:t xml:space="preserve"> (</w:t>
      </w:r>
      <w:r w:rsidR="000C1532">
        <w:fldChar w:fldCharType="begin"/>
      </w:r>
      <w:r w:rsidR="000C1532">
        <w:instrText xml:space="preserve"> REF _Ref223364654 \h </w:instrText>
      </w:r>
      <w:r w:rsidR="000C1532">
        <w:fldChar w:fldCharType="separate"/>
      </w:r>
      <w:r w:rsidR="00543B3D">
        <w:t>Figure </w:t>
      </w:r>
      <w:r w:rsidR="00543B3D">
        <w:rPr>
          <w:noProof/>
        </w:rPr>
        <w:t>2</w:t>
      </w:r>
      <w:r w:rsidR="00543B3D">
        <w:t>.</w:t>
      </w:r>
      <w:r w:rsidR="00543B3D">
        <w:rPr>
          <w:noProof/>
        </w:rPr>
        <w:t>6</w:t>
      </w:r>
      <w:r w:rsidR="000C1532">
        <w:fldChar w:fldCharType="end"/>
      </w:r>
      <w:r w:rsidR="000C1532">
        <w:t>)</w:t>
      </w:r>
      <w:r w:rsidR="00494671">
        <w:t xml:space="preserve">. </w:t>
      </w:r>
    </w:p>
    <w:p w:rsidR="000C1532" w:rsidP="000C1532" w:rsidRDefault="000C1532" w14:paraId="662D6EFE" w14:textId="14F4AEB4">
      <w:pPr>
        <w:pStyle w:val="Para"/>
        <w:numPr>
          <w:ilvl w:val="0"/>
          <w:numId w:val="0"/>
        </w:numPr>
      </w:pPr>
      <w:r>
        <w:rPr>
          <w:b/>
          <w:bCs/>
        </w:rPr>
        <w:t>A key priority for the delivery of public services is to develop public services adapted to the user needs</w:t>
      </w:r>
      <w:r>
        <w:t xml:space="preserve">. By developing </w:t>
      </w:r>
      <w:r>
        <w:rPr>
          <w:b/>
          <w:bCs/>
        </w:rPr>
        <w:t>Life Event approaches across Government</w:t>
      </w:r>
      <w:r>
        <w:t xml:space="preserve">, public services are packaged in a manner that is aligned with user experiences throughout their lives. To support this, it is also necessary to ensure </w:t>
      </w:r>
      <w:r>
        <w:rPr>
          <w:b/>
          <w:bCs/>
        </w:rPr>
        <w:t xml:space="preserve">service standards and principles for public service design and delivery </w:t>
      </w:r>
      <w:r w:rsidR="006D09F5">
        <w:rPr>
          <w:b/>
          <w:bCs/>
        </w:rPr>
        <w:t xml:space="preserve">are </w:t>
      </w:r>
      <w:r>
        <w:rPr>
          <w:b/>
          <w:bCs/>
        </w:rPr>
        <w:t>developed across government, ensuring a uniform approach for users</w:t>
      </w:r>
      <w:r>
        <w:t>. Several horizontal tools contribute to the development of the Life Event approach</w:t>
      </w:r>
      <w:r w:rsidR="006D09F5">
        <w:t>,</w:t>
      </w:r>
      <w:r>
        <w:t xml:space="preserve"> and standards and principles for public service design and delivery. These include ensuring </w:t>
      </w:r>
      <w:r>
        <w:rPr>
          <w:b/>
          <w:bCs/>
        </w:rPr>
        <w:t>design capabilities</w:t>
      </w:r>
      <w:r>
        <w:t xml:space="preserve"> are in place across government to contribute to the design of public services with the user in the centre. Moreover, </w:t>
      </w:r>
      <w:r>
        <w:rPr>
          <w:b/>
          <w:bCs/>
        </w:rPr>
        <w:t>tools and methods for understand</w:t>
      </w:r>
      <w:r w:rsidR="00BC58B5">
        <w:rPr>
          <w:b/>
          <w:bCs/>
        </w:rPr>
        <w:t>ing</w:t>
      </w:r>
      <w:r>
        <w:rPr>
          <w:b/>
          <w:bCs/>
        </w:rPr>
        <w:t xml:space="preserve"> user needs</w:t>
      </w:r>
      <w:r>
        <w:t xml:space="preserve"> must be deployed to ensure that the key obstacles and bottlenecks faced by users are identified to design user-centred services. </w:t>
      </w:r>
      <w:r>
        <w:rPr>
          <w:b/>
          <w:bCs/>
        </w:rPr>
        <w:t>Proactive communication tools</w:t>
      </w:r>
      <w:r>
        <w:t xml:space="preserve"> also contribute to ensuring that the actions of the public administration to address the needs of the user are appropriately communicated. To ensure the adequate </w:t>
      </w:r>
      <w:r>
        <w:rPr>
          <w:b/>
          <w:bCs/>
        </w:rPr>
        <w:t>monitoring of efforts</w:t>
      </w:r>
      <w:r>
        <w:t xml:space="preserve">, it is also key to deploy data collection on public service delivery, ensuring key indicators have been defined, collected and are continuously monitored. The use of </w:t>
      </w:r>
      <w:r>
        <w:rPr>
          <w:b/>
          <w:bCs/>
        </w:rPr>
        <w:t>AI driven insights</w:t>
      </w:r>
      <w:r>
        <w:t xml:space="preserve"> can contribute to this data collection. </w:t>
      </w:r>
    </w:p>
    <w:p w:rsidR="000C1532" w:rsidP="000C1532" w:rsidRDefault="000C1532" w14:paraId="7D6C41BE" w14:textId="77777777">
      <w:pPr>
        <w:pStyle w:val="Para"/>
        <w:numPr>
          <w:ilvl w:val="0"/>
          <w:numId w:val="0"/>
        </w:numPr>
      </w:pPr>
    </w:p>
    <w:p w:rsidR="000C1532" w:rsidP="002B6090" w:rsidRDefault="000C1532" w14:paraId="76B77B91" w14:textId="77777777">
      <w:pPr>
        <w:pStyle w:val="Para"/>
        <w:numPr>
          <w:ilvl w:val="0"/>
          <w:numId w:val="0"/>
        </w:numPr>
      </w:pPr>
    </w:p>
    <w:p w:rsidR="00727E53" w:rsidP="006C2185" w:rsidRDefault="00727E53" w14:paraId="32A0BF7A" w14:textId="43EECD19">
      <w:pPr>
        <w:pStyle w:val="Caption"/>
      </w:pPr>
      <w:bookmarkStart w:name="_Ref223364654" w:id="67"/>
      <w:bookmarkStart w:name="_Toc223413763" w:id="68"/>
      <w:r>
        <w:t>Figure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6</w:t>
      </w:r>
      <w:r>
        <w:rPr>
          <w:noProof/>
        </w:rPr>
        <w:fldChar w:fldCharType="end"/>
      </w:r>
      <w:bookmarkEnd w:id="67"/>
      <w:r>
        <w:t>. Interconnection between tools for Accessing Services</w:t>
      </w:r>
      <w:bookmarkEnd w:id="68"/>
      <w:r>
        <w:t xml:space="preserve"> </w:t>
      </w:r>
    </w:p>
    <w:p w:rsidR="00727E53" w:rsidRDefault="00DE3D29" w14:paraId="5BDE8C20" w14:textId="0FB66C0C">
      <w:pPr>
        <w:pStyle w:val="Figure"/>
        <w:rPr>
          <w:i/>
        </w:rPr>
      </w:pPr>
      <w:r w:rsidRPr="00DE3D29">
        <w:rPr>
          <w:noProof/>
        </w:rPr>
        <w:drawing>
          <wp:inline distT="0" distB="0" distL="0" distR="0" wp14:anchorId="645BB5C4" wp14:editId="0AEE4584">
            <wp:extent cx="5904230" cy="3342005"/>
            <wp:effectExtent l="0" t="0" r="1270" b="0"/>
            <wp:docPr id="68194778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947782" name="Picture 1" descr="A screenshot of a computer&#10;&#10;AI-generated content may be incorrect."/>
                    <pic:cNvPicPr/>
                  </pic:nvPicPr>
                  <pic:blipFill rotWithShape="1">
                    <a:blip r:embed="rId50"/>
                    <a:srcRect t="7553"/>
                    <a:stretch>
                      <a:fillRect/>
                    </a:stretch>
                  </pic:blipFill>
                  <pic:spPr bwMode="auto">
                    <a:xfrm>
                      <a:off x="0" y="0"/>
                      <a:ext cx="5904230" cy="3342005"/>
                    </a:xfrm>
                    <a:prstGeom prst="rect">
                      <a:avLst/>
                    </a:prstGeom>
                    <a:ln>
                      <a:noFill/>
                    </a:ln>
                    <a:extLst>
                      <a:ext uri="{53640926-AAD7-44D8-BBD7-CCE9431645EC}">
                        <a14:shadowObscured xmlns:a14="http://schemas.microsoft.com/office/drawing/2010/main"/>
                      </a:ext>
                    </a:extLst>
                  </pic:spPr>
                </pic:pic>
              </a:graphicData>
            </a:graphic>
          </wp:inline>
        </w:drawing>
      </w:r>
    </w:p>
    <w:p w:rsidRPr="00454399" w:rsidR="00727E53" w:rsidRDefault="00727E53" w14:paraId="7605D6E5" w14:textId="660E072E">
      <w:pPr>
        <w:pStyle w:val="Sourcenotes"/>
      </w:pPr>
      <w:r w:rsidRPr="004802B4">
        <w:t xml:space="preserve">Source: </w:t>
      </w:r>
      <w:r w:rsidR="006C2185">
        <w:t>Author illustration</w:t>
      </w:r>
      <w:r w:rsidR="00971E26">
        <w:t>.</w:t>
      </w:r>
    </w:p>
    <w:p w:rsidR="00C174EA" w:rsidP="002B6090" w:rsidRDefault="00FA388F" w14:paraId="35EB9248" w14:textId="1D9BAD89">
      <w:pPr>
        <w:pStyle w:val="Para"/>
        <w:numPr>
          <w:ilvl w:val="0"/>
          <w:numId w:val="0"/>
        </w:numPr>
      </w:pPr>
      <w:r w:rsidRPr="00832509">
        <w:rPr>
          <w:b/>
          <w:bCs/>
        </w:rPr>
        <w:t>The establishment of Life Event approaches and service standa</w:t>
      </w:r>
      <w:r w:rsidRPr="00832509" w:rsidR="00D17DD8">
        <w:rPr>
          <w:b/>
          <w:bCs/>
        </w:rPr>
        <w:t>rds and principles can also contribute to the deployment of accessible services to users, particularly through the development of the omni-channel approach and the use of One-Stop shops.</w:t>
      </w:r>
      <w:r w:rsidR="00D17DD8">
        <w:t xml:space="preserve"> The horizontal tools </w:t>
      </w:r>
      <w:r w:rsidR="00C73206">
        <w:t xml:space="preserve">can also contribute to the development of these tools for accessibility. For example, design capabilities can support in developing the omni-channel approach, ensuring that regardless of the channel, services look the same, with the same level of information provided to users. Moreover, </w:t>
      </w:r>
      <w:r w:rsidR="00C174EA">
        <w:t>tools and methods for understanding user needs can be key in supporting the development of the omni-channel approach and one-stop shops by identifying what services are required by users through different channels. A full overview of the Tools relating to Access to Public Services is presented in</w:t>
      </w:r>
      <w:r w:rsidR="0043495C">
        <w:t xml:space="preserve"> </w:t>
      </w:r>
      <w:r w:rsidR="0043495C">
        <w:fldChar w:fldCharType="begin"/>
      </w:r>
      <w:r w:rsidR="0043495C">
        <w:instrText xml:space="preserve"> REF _Ref215413175 \h </w:instrText>
      </w:r>
      <w:r w:rsidR="0043495C">
        <w:fldChar w:fldCharType="separate"/>
      </w:r>
      <w:r w:rsidR="00543B3D">
        <w:t>Table </w:t>
      </w:r>
      <w:r w:rsidR="00543B3D">
        <w:rPr>
          <w:noProof/>
        </w:rPr>
        <w:t>2</w:t>
      </w:r>
      <w:r w:rsidR="00543B3D">
        <w:t>.</w:t>
      </w:r>
      <w:r w:rsidR="00543B3D">
        <w:rPr>
          <w:noProof/>
        </w:rPr>
        <w:t>1</w:t>
      </w:r>
      <w:r w:rsidR="0043495C">
        <w:fldChar w:fldCharType="end"/>
      </w:r>
      <w:r w:rsidR="0043495C">
        <w:t xml:space="preserve"> below. </w:t>
      </w:r>
    </w:p>
    <w:p w:rsidRPr="0043495C" w:rsidR="0043495C" w:rsidRDefault="0043495C" w14:paraId="7739A858" w14:textId="20EA5660">
      <w:pPr>
        <w:pStyle w:val="Caption"/>
        <w:rPr>
          <w:bCs/>
        </w:rPr>
      </w:pPr>
      <w:bookmarkStart w:name="_Ref215413175" w:id="69"/>
      <w:bookmarkStart w:name="_Toc223413786" w:id="70"/>
      <w:r>
        <w:t>Table </w:t>
      </w:r>
      <w:r>
        <w:rPr>
          <w:noProof/>
        </w:rPr>
        <w:fldChar w:fldCharType="begin"/>
      </w:r>
      <w:r>
        <w:rPr>
          <w:noProof/>
        </w:rPr>
        <w:instrText xml:space="preserve"> STYLEREF 1 \s </w:instrText>
      </w:r>
      <w:r>
        <w:rPr>
          <w:noProof/>
        </w:rPr>
        <w:fldChar w:fldCharType="separate"/>
      </w:r>
      <w:r w:rsidR="00543B3D">
        <w:rPr>
          <w:noProof/>
        </w:rPr>
        <w:t>2</w:t>
      </w:r>
      <w:r>
        <w:rPr>
          <w:noProof/>
        </w:rPr>
        <w:fldChar w:fldCharType="end"/>
      </w:r>
      <w:r>
        <w:t>.</w:t>
      </w:r>
      <w:r>
        <w:rPr>
          <w:noProof/>
        </w:rPr>
        <w:fldChar w:fldCharType="begin"/>
      </w:r>
      <w:r>
        <w:rPr>
          <w:noProof/>
        </w:rPr>
        <w:instrText xml:space="preserve"> SEQ Table \* ARABIC \s 1 </w:instrText>
      </w:r>
      <w:r>
        <w:rPr>
          <w:noProof/>
        </w:rPr>
        <w:fldChar w:fldCharType="separate"/>
      </w:r>
      <w:r w:rsidR="00543B3D">
        <w:rPr>
          <w:noProof/>
        </w:rPr>
        <w:t>1</w:t>
      </w:r>
      <w:r>
        <w:rPr>
          <w:noProof/>
        </w:rPr>
        <w:fldChar w:fldCharType="end"/>
      </w:r>
      <w:bookmarkEnd w:id="69"/>
      <w:r>
        <w:t>. Tools for Access to Public Services</w:t>
      </w:r>
      <w:bookmarkEnd w:id="70"/>
      <w:r>
        <w:t xml:space="preserve"> </w:t>
      </w:r>
    </w:p>
    <w:tbl>
      <w:tblPr>
        <w:tblStyle w:val="OEC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20" w:firstRow="1" w:lastRow="0" w:firstColumn="0" w:lastColumn="0" w:noHBand="0" w:noVBand="1"/>
      </w:tblPr>
      <w:tblGrid>
        <w:gridCol w:w="1792"/>
        <w:gridCol w:w="3671"/>
        <w:gridCol w:w="3825"/>
      </w:tblGrid>
      <w:tr w:rsidRPr="0043495C" w:rsidR="0043495C" w:rsidTr="00832509" w14:paraId="37793D75" w14:textId="77777777">
        <w:trPr>
          <w:trHeight w:val="238"/>
          <w:tblHeader/>
        </w:trPr>
        <w:tc>
          <w:tcPr>
            <w:tcW w:w="965" w:type="pct"/>
          </w:tcPr>
          <w:p w:rsidRPr="0043495C" w:rsidR="0043495C" w:rsidRDefault="0043495C" w14:paraId="5996DDAA" w14:textId="51AD2330">
            <w:pPr>
              <w:pStyle w:val="TableColumn"/>
              <w:rPr>
                <w:b/>
                <w:bCs/>
              </w:rPr>
            </w:pPr>
            <w:r w:rsidRPr="0043495C">
              <w:rPr>
                <w:b/>
                <w:bCs/>
              </w:rPr>
              <w:t xml:space="preserve">Tool </w:t>
            </w:r>
          </w:p>
        </w:tc>
        <w:tc>
          <w:tcPr>
            <w:tcW w:w="1976" w:type="pct"/>
          </w:tcPr>
          <w:p w:rsidRPr="0043495C" w:rsidR="0043495C" w:rsidRDefault="0043495C" w14:paraId="0BC2AAFD" w14:textId="47C10C3F">
            <w:pPr>
              <w:pStyle w:val="TableColumn"/>
              <w:rPr>
                <w:b/>
                <w:bCs/>
              </w:rPr>
            </w:pPr>
            <w:r w:rsidRPr="0043495C">
              <w:rPr>
                <w:b/>
                <w:bCs/>
              </w:rPr>
              <w:t xml:space="preserve">Description </w:t>
            </w:r>
          </w:p>
        </w:tc>
        <w:tc>
          <w:tcPr>
            <w:tcW w:w="2059" w:type="pct"/>
          </w:tcPr>
          <w:p w:rsidRPr="0043495C" w:rsidR="0043495C" w:rsidP="00517F43" w:rsidRDefault="0043495C" w14:paraId="4626526C" w14:textId="7D6702DB">
            <w:pPr>
              <w:pStyle w:val="TableColumn"/>
              <w:rPr>
                <w:b/>
                <w:bCs/>
              </w:rPr>
            </w:pPr>
            <w:r w:rsidRPr="0043495C">
              <w:rPr>
                <w:b/>
                <w:bCs/>
              </w:rPr>
              <w:t>Types of Actions</w:t>
            </w:r>
          </w:p>
        </w:tc>
      </w:tr>
      <w:tr w:rsidRPr="00454399" w:rsidR="0043495C" w:rsidTr="00832509" w14:paraId="2A7861A4" w14:textId="77777777">
        <w:trPr>
          <w:trHeight w:val="238"/>
        </w:trPr>
        <w:tc>
          <w:tcPr>
            <w:tcW w:w="965" w:type="pct"/>
            <w:vAlign w:val="center"/>
          </w:tcPr>
          <w:p w:rsidRPr="00454399" w:rsidR="0043495C" w:rsidP="00DE3D29" w:rsidRDefault="0043495C" w14:paraId="413778B0" w14:textId="586C7F27">
            <w:pPr>
              <w:pStyle w:val="TableRow"/>
              <w:jc w:val="left"/>
            </w:pPr>
            <w:r w:rsidRPr="00E0047A">
              <w:rPr>
                <w:rFonts w:eastAsia="Times New Roman" w:cs="Arial"/>
                <w:b/>
                <w:bCs/>
                <w:color w:val="3F3F3F"/>
                <w:kern w:val="24"/>
                <w:sz w:val="18"/>
                <w:szCs w:val="18"/>
              </w:rPr>
              <w:t xml:space="preserve">Life Event Approaches across government </w:t>
            </w:r>
          </w:p>
        </w:tc>
        <w:tc>
          <w:tcPr>
            <w:tcW w:w="1976" w:type="pct"/>
            <w:vAlign w:val="center"/>
          </w:tcPr>
          <w:p w:rsidRPr="00454399" w:rsidR="0043495C" w:rsidP="00DE3D29" w:rsidRDefault="0043495C" w14:paraId="081DC0D9" w14:textId="5556D741">
            <w:pPr>
              <w:pStyle w:val="TableCell"/>
              <w:jc w:val="left"/>
            </w:pPr>
            <w:r>
              <w:rPr>
                <w:rFonts w:eastAsia="Times New Roman" w:cs="Arial"/>
                <w:color w:val="3F3F3F"/>
                <w:kern w:val="24"/>
                <w:sz w:val="18"/>
                <w:szCs w:val="18"/>
                <w:lang w:val="lv-LV"/>
              </w:rPr>
              <w:t xml:space="preserve">Building a life event approach for the country, starting with setting the list of life events, helps frame the country’s methodology and steps towards rolling it out. </w:t>
            </w:r>
            <w:r w:rsidRPr="00E0047A">
              <w:rPr>
                <w:rFonts w:eastAsia="Times New Roman" w:cs="Arial"/>
                <w:color w:val="3F3F3F"/>
                <w:kern w:val="24"/>
                <w:sz w:val="18"/>
                <w:szCs w:val="18"/>
                <w:lang w:val="lv-LV"/>
              </w:rPr>
              <w:t xml:space="preserve">Disseminating, clarifying and explaining information on Life Event Approaches can be a powerful tool to foster a better understanding and uptake of this approach across public administration. </w:t>
            </w:r>
          </w:p>
        </w:tc>
        <w:tc>
          <w:tcPr>
            <w:tcW w:w="2059" w:type="pct"/>
            <w:vAlign w:val="center"/>
          </w:tcPr>
          <w:p w:rsidR="0043495C" w:rsidP="00DE3D29" w:rsidRDefault="0043495C" w14:paraId="7F8CBB84" w14:textId="4A189442">
            <w:pPr>
              <w:widowControl/>
              <w:numPr>
                <w:ilvl w:val="0"/>
                <w:numId w:val="12"/>
              </w:numPr>
              <w:ind w:left="323" w:hanging="323"/>
              <w:contextualSpacing/>
              <w:jc w:val="left"/>
              <w:rPr>
                <w:rFonts w:eastAsia="Times New Roman" w:cs="Arial"/>
                <w:color w:val="3F3F3F"/>
                <w:kern w:val="24"/>
                <w:sz w:val="18"/>
                <w:szCs w:val="18"/>
              </w:rPr>
            </w:pPr>
            <w:r>
              <w:rPr>
                <w:rFonts w:eastAsia="Times New Roman" w:cs="Arial"/>
                <w:color w:val="3F3F3F"/>
                <w:kern w:val="24"/>
                <w:sz w:val="18"/>
                <w:szCs w:val="18"/>
              </w:rPr>
              <w:t xml:space="preserve">Development of the life event approach and </w:t>
            </w:r>
            <w:r w:rsidR="007139AF">
              <w:rPr>
                <w:rFonts w:eastAsia="Times New Roman" w:cs="Arial"/>
                <w:color w:val="3F3F3F"/>
                <w:kern w:val="24"/>
                <w:sz w:val="18"/>
                <w:szCs w:val="18"/>
              </w:rPr>
              <w:t>toolbox</w:t>
            </w:r>
            <w:r>
              <w:rPr>
                <w:rFonts w:eastAsia="Times New Roman" w:cs="Arial"/>
                <w:color w:val="3F3F3F"/>
                <w:kern w:val="24"/>
                <w:sz w:val="18"/>
                <w:szCs w:val="18"/>
              </w:rPr>
              <w:t xml:space="preserve"> in the country (from defining the list of life events to mapping user experiences on life events and implementing specific actions)</w:t>
            </w:r>
          </w:p>
          <w:p w:rsidR="0043495C" w:rsidP="00DE3D29" w:rsidRDefault="0043495C" w14:paraId="5502AE2A" w14:textId="77777777">
            <w:pPr>
              <w:widowControl/>
              <w:numPr>
                <w:ilvl w:val="0"/>
                <w:numId w:val="12"/>
              </w:numPr>
              <w:ind w:left="323" w:hanging="323"/>
              <w:contextualSpacing/>
              <w:jc w:val="left"/>
              <w:rPr>
                <w:rFonts w:eastAsia="Times New Roman" w:cs="Arial"/>
                <w:color w:val="3F3F3F"/>
                <w:kern w:val="24"/>
                <w:sz w:val="18"/>
                <w:szCs w:val="18"/>
              </w:rPr>
            </w:pPr>
            <w:r w:rsidRPr="000A78F9">
              <w:rPr>
                <w:rFonts w:eastAsia="Times New Roman" w:cs="Arial"/>
                <w:color w:val="3F3F3F"/>
                <w:kern w:val="24"/>
                <w:sz w:val="18"/>
                <w:szCs w:val="18"/>
              </w:rPr>
              <w:t>Life Event prototyping</w:t>
            </w:r>
          </w:p>
          <w:p w:rsidRPr="000A78F9" w:rsidR="0043495C" w:rsidP="00DE3D29" w:rsidRDefault="0043495C" w14:paraId="62E05ACC" w14:textId="77777777">
            <w:pPr>
              <w:widowControl/>
              <w:numPr>
                <w:ilvl w:val="0"/>
                <w:numId w:val="12"/>
              </w:numPr>
              <w:ind w:left="323" w:hanging="323"/>
              <w:contextualSpacing/>
              <w:jc w:val="left"/>
              <w:rPr>
                <w:rFonts w:eastAsia="Times New Roman" w:cs="Arial"/>
                <w:color w:val="3F3F3F"/>
                <w:kern w:val="24"/>
                <w:sz w:val="18"/>
                <w:szCs w:val="18"/>
              </w:rPr>
            </w:pPr>
            <w:r>
              <w:rPr>
                <w:rFonts w:eastAsia="Times New Roman" w:cs="Arial"/>
                <w:color w:val="3F3F3F"/>
                <w:kern w:val="24"/>
                <w:sz w:val="18"/>
                <w:szCs w:val="18"/>
              </w:rPr>
              <w:t>Prioritisation tools on life events (surveys, data analysis)</w:t>
            </w:r>
            <w:r w:rsidRPr="000A78F9">
              <w:rPr>
                <w:rFonts w:eastAsia="Times New Roman" w:cs="Arial"/>
                <w:color w:val="3F3F3F"/>
                <w:kern w:val="24"/>
                <w:sz w:val="18"/>
                <w:szCs w:val="18"/>
              </w:rPr>
              <w:t xml:space="preserve"> </w:t>
            </w:r>
          </w:p>
          <w:p w:rsidR="0043495C" w:rsidP="00DE3D29" w:rsidRDefault="0043495C" w14:paraId="54082045" w14:textId="77777777">
            <w:pPr>
              <w:widowControl/>
              <w:numPr>
                <w:ilvl w:val="0"/>
                <w:numId w:val="12"/>
              </w:numPr>
              <w:ind w:left="323" w:hanging="323"/>
              <w:contextualSpacing/>
              <w:jc w:val="left"/>
              <w:rPr>
                <w:rFonts w:eastAsia="Times New Roman" w:cs="Arial"/>
                <w:color w:val="3F3F3F"/>
                <w:kern w:val="24"/>
                <w:sz w:val="18"/>
                <w:szCs w:val="18"/>
              </w:rPr>
            </w:pPr>
            <w:r w:rsidRPr="000A78F9">
              <w:rPr>
                <w:rFonts w:eastAsia="Times New Roman" w:cs="Arial"/>
                <w:color w:val="3F3F3F"/>
                <w:kern w:val="24"/>
                <w:sz w:val="18"/>
                <w:szCs w:val="18"/>
              </w:rPr>
              <w:t>Dedicated and accessible internal webpages with information, methodology and tools for the adoption and improvement of Life Event Approaches</w:t>
            </w:r>
          </w:p>
          <w:p w:rsidRPr="00454399" w:rsidR="0043495C" w:rsidP="00DE3D29" w:rsidRDefault="0043495C" w14:paraId="787BEE30" w14:textId="6033526E">
            <w:pPr>
              <w:widowControl/>
              <w:numPr>
                <w:ilvl w:val="0"/>
                <w:numId w:val="12"/>
              </w:numPr>
              <w:ind w:left="323" w:hanging="323"/>
              <w:contextualSpacing/>
              <w:jc w:val="left"/>
            </w:pPr>
            <w:r>
              <w:rPr>
                <w:rFonts w:eastAsia="Times New Roman" w:cs="Arial"/>
                <w:color w:val="3F3F3F"/>
                <w:kern w:val="24"/>
                <w:sz w:val="18"/>
                <w:szCs w:val="18"/>
              </w:rPr>
              <w:t>Communication on life events</w:t>
            </w:r>
            <w:r w:rsidR="0058418A">
              <w:rPr>
                <w:rFonts w:eastAsia="Times New Roman" w:cs="Arial"/>
                <w:color w:val="3F3F3F"/>
                <w:kern w:val="24"/>
                <w:sz w:val="18"/>
                <w:szCs w:val="18"/>
              </w:rPr>
              <w:t xml:space="preserve"> - </w:t>
            </w:r>
            <w:r w:rsidRPr="000A78F9">
              <w:rPr>
                <w:rFonts w:eastAsia="Times New Roman" w:cs="Arial"/>
                <w:color w:val="3F3F3F"/>
                <w:kern w:val="24"/>
                <w:sz w:val="18"/>
                <w:szCs w:val="18"/>
              </w:rPr>
              <w:t>Events, conferences and exchanges on Life Event Approaches across administration</w:t>
            </w:r>
          </w:p>
        </w:tc>
      </w:tr>
      <w:tr w:rsidRPr="00454399" w:rsidR="0043495C" w:rsidTr="00832509" w14:paraId="7DE15410" w14:textId="77777777">
        <w:trPr>
          <w:trHeight w:val="238"/>
        </w:trPr>
        <w:tc>
          <w:tcPr>
            <w:tcW w:w="965" w:type="pct"/>
            <w:vAlign w:val="center"/>
          </w:tcPr>
          <w:p w:rsidRPr="00454399" w:rsidR="0043495C" w:rsidP="00DE3D29" w:rsidRDefault="0043495C" w14:paraId="6746A745" w14:textId="5B0DDB89">
            <w:pPr>
              <w:pStyle w:val="TableRow"/>
              <w:jc w:val="left"/>
            </w:pPr>
            <w:r>
              <w:rPr>
                <w:rFonts w:eastAsia="Times New Roman" w:cs="Arial"/>
                <w:b/>
                <w:bCs/>
                <w:color w:val="3F3F3F"/>
                <w:kern w:val="24"/>
                <w:sz w:val="18"/>
                <w:szCs w:val="18"/>
                <w:lang w:val="lv-LV"/>
              </w:rPr>
              <w:t>S</w:t>
            </w:r>
            <w:r w:rsidRPr="00E0047A">
              <w:rPr>
                <w:rFonts w:eastAsia="Times New Roman" w:cs="Arial"/>
                <w:b/>
                <w:bCs/>
                <w:color w:val="3F3F3F"/>
                <w:kern w:val="24"/>
                <w:sz w:val="18"/>
                <w:szCs w:val="18"/>
              </w:rPr>
              <w:t xml:space="preserve">tandards and </w:t>
            </w:r>
            <w:r w:rsidRPr="00E0047A">
              <w:rPr>
                <w:rFonts w:eastAsia="Times New Roman" w:cs="Arial"/>
                <w:b/>
                <w:bCs/>
                <w:color w:val="3F3F3F"/>
                <w:kern w:val="24"/>
                <w:sz w:val="18"/>
                <w:szCs w:val="18"/>
                <w:lang w:val="lv-LV"/>
              </w:rPr>
              <w:t>p</w:t>
            </w:r>
            <w:r w:rsidRPr="00E0047A">
              <w:rPr>
                <w:rFonts w:eastAsia="Times New Roman" w:cs="Arial"/>
                <w:b/>
                <w:bCs/>
                <w:color w:val="3F3F3F"/>
                <w:kern w:val="24"/>
                <w:sz w:val="18"/>
                <w:szCs w:val="18"/>
              </w:rPr>
              <w:t xml:space="preserve">rinciples for </w:t>
            </w:r>
            <w:r w:rsidRPr="00E0047A">
              <w:rPr>
                <w:rFonts w:eastAsia="Times New Roman" w:cs="Arial"/>
                <w:b/>
                <w:bCs/>
                <w:color w:val="3F3F3F"/>
                <w:kern w:val="24"/>
                <w:sz w:val="18"/>
                <w:szCs w:val="18"/>
                <w:lang w:val="lv-LV"/>
              </w:rPr>
              <w:t>p</w:t>
            </w:r>
            <w:r w:rsidRPr="00E0047A">
              <w:rPr>
                <w:rFonts w:eastAsia="Times New Roman" w:cs="Arial"/>
                <w:b/>
                <w:bCs/>
                <w:color w:val="3F3F3F"/>
                <w:kern w:val="24"/>
                <w:sz w:val="18"/>
                <w:szCs w:val="18"/>
              </w:rPr>
              <w:t xml:space="preserve">ublic </w:t>
            </w:r>
            <w:r w:rsidRPr="00E0047A">
              <w:rPr>
                <w:rFonts w:eastAsia="Times New Roman" w:cs="Arial"/>
                <w:b/>
                <w:bCs/>
                <w:color w:val="3F3F3F"/>
                <w:kern w:val="24"/>
                <w:sz w:val="18"/>
                <w:szCs w:val="18"/>
                <w:lang w:val="lv-LV"/>
              </w:rPr>
              <w:t>s</w:t>
            </w:r>
            <w:r w:rsidRPr="00E0047A">
              <w:rPr>
                <w:rFonts w:eastAsia="Times New Roman" w:cs="Arial"/>
                <w:b/>
                <w:bCs/>
                <w:color w:val="3F3F3F"/>
                <w:kern w:val="24"/>
                <w:sz w:val="18"/>
                <w:szCs w:val="18"/>
              </w:rPr>
              <w:t xml:space="preserve">ervice </w:t>
            </w:r>
            <w:r w:rsidRPr="00E0047A">
              <w:rPr>
                <w:rFonts w:eastAsia="Times New Roman" w:cs="Arial"/>
                <w:b/>
                <w:bCs/>
                <w:color w:val="3F3F3F"/>
                <w:kern w:val="24"/>
                <w:sz w:val="18"/>
                <w:szCs w:val="18"/>
                <w:lang w:val="lv-LV"/>
              </w:rPr>
              <w:t>d</w:t>
            </w:r>
            <w:r w:rsidRPr="00E0047A">
              <w:rPr>
                <w:rFonts w:eastAsia="Times New Roman" w:cs="Arial"/>
                <w:b/>
                <w:bCs/>
                <w:color w:val="3F3F3F"/>
                <w:kern w:val="24"/>
                <w:sz w:val="18"/>
                <w:szCs w:val="18"/>
              </w:rPr>
              <w:t xml:space="preserve">esign and </w:t>
            </w:r>
            <w:r w:rsidRPr="00E0047A">
              <w:rPr>
                <w:rFonts w:eastAsia="Times New Roman" w:cs="Arial"/>
                <w:b/>
                <w:bCs/>
                <w:color w:val="3F3F3F"/>
                <w:kern w:val="24"/>
                <w:sz w:val="18"/>
                <w:szCs w:val="18"/>
                <w:lang w:val="lv-LV"/>
              </w:rPr>
              <w:t>d</w:t>
            </w:r>
            <w:r w:rsidRPr="00E0047A">
              <w:rPr>
                <w:rFonts w:eastAsia="Times New Roman" w:cs="Arial"/>
                <w:b/>
                <w:bCs/>
                <w:color w:val="3F3F3F"/>
                <w:kern w:val="24"/>
                <w:sz w:val="18"/>
                <w:szCs w:val="18"/>
              </w:rPr>
              <w:t xml:space="preserve">elivery  </w:t>
            </w:r>
          </w:p>
        </w:tc>
        <w:tc>
          <w:tcPr>
            <w:tcW w:w="1976" w:type="pct"/>
            <w:vAlign w:val="center"/>
          </w:tcPr>
          <w:p w:rsidRPr="00454399" w:rsidR="0043495C" w:rsidP="00DE3D29" w:rsidRDefault="0043495C" w14:paraId="1C8BE1FA" w14:textId="3DABFAF3">
            <w:pPr>
              <w:pStyle w:val="TableCell"/>
              <w:jc w:val="left"/>
            </w:pPr>
            <w:r w:rsidRPr="00E0047A">
              <w:rPr>
                <w:rFonts w:eastAsia="Times New Roman" w:cs="Arial"/>
                <w:color w:val="3F3F3F"/>
                <w:kern w:val="24"/>
                <w:sz w:val="18"/>
                <w:szCs w:val="18"/>
                <w:lang w:val="lv-LV"/>
              </w:rPr>
              <w:t xml:space="preserve">Clear, user-centred standards and principles for service design and delivery establish a shared </w:t>
            </w:r>
            <w:r w:rsidRPr="00E0047A">
              <w:rPr>
                <w:rFonts w:eastAsia="Times New Roman" w:cs="Arial"/>
                <w:color w:val="3F3F3F"/>
                <w:kern w:val="24"/>
                <w:sz w:val="18"/>
                <w:szCs w:val="18"/>
                <w:lang w:val="lv-LV"/>
              </w:rPr>
              <w:t>understanding between civil service and society and provide a roadmap for service improvements.</w:t>
            </w:r>
          </w:p>
        </w:tc>
        <w:tc>
          <w:tcPr>
            <w:tcW w:w="2059" w:type="pct"/>
          </w:tcPr>
          <w:p w:rsidRPr="00E0047A" w:rsidR="0043495C" w:rsidP="0043495C" w:rsidRDefault="0043495C" w14:paraId="09C71080" w14:textId="77777777">
            <w:pPr>
              <w:widowControl/>
              <w:numPr>
                <w:ilvl w:val="0"/>
                <w:numId w:val="9"/>
              </w:numPr>
              <w:ind w:left="323" w:hanging="284"/>
              <w:contextualSpacing/>
              <w:jc w:val="left"/>
              <w:rPr>
                <w:rFonts w:ascii="Arial" w:hAnsi="Arial" w:eastAsia="Times New Roman" w:cs="Arial"/>
                <w:sz w:val="18"/>
                <w:szCs w:val="36"/>
              </w:rPr>
            </w:pPr>
            <w:r w:rsidRPr="00E0047A">
              <w:rPr>
                <w:rFonts w:eastAsia="Times New Roman" w:cs="Arial"/>
                <w:color w:val="3F3F3F"/>
                <w:kern w:val="24"/>
                <w:sz w:val="18"/>
                <w:szCs w:val="18"/>
                <w:lang w:val="lv-LV"/>
              </w:rPr>
              <w:t xml:space="preserve">Identification of concrete and limited number of principles </w:t>
            </w:r>
          </w:p>
          <w:p w:rsidRPr="003F1C2F" w:rsidR="0043495C" w:rsidP="0043495C" w:rsidRDefault="0043495C" w14:paraId="34D0B845" w14:textId="77777777">
            <w:pPr>
              <w:widowControl/>
              <w:numPr>
                <w:ilvl w:val="0"/>
                <w:numId w:val="9"/>
              </w:numPr>
              <w:ind w:left="323" w:hanging="284"/>
              <w:contextualSpacing/>
              <w:jc w:val="left"/>
              <w:rPr>
                <w:rFonts w:eastAsia="Times New Roman" w:cs="Arial"/>
                <w:color w:val="3F3F3F"/>
                <w:kern w:val="24"/>
                <w:sz w:val="18"/>
                <w:szCs w:val="18"/>
                <w:lang w:val="lv-LV"/>
              </w:rPr>
            </w:pPr>
            <w:r w:rsidRPr="00E0047A">
              <w:rPr>
                <w:rFonts w:eastAsia="Times New Roman" w:cs="Arial"/>
                <w:color w:val="3F3F3F"/>
                <w:kern w:val="24"/>
                <w:sz w:val="18"/>
                <w:szCs w:val="18"/>
                <w:lang w:val="lv-LV"/>
              </w:rPr>
              <w:t>Embedding standards and principles into a strategic document</w:t>
            </w:r>
          </w:p>
          <w:p w:rsidRPr="003F1C2F" w:rsidR="0043495C" w:rsidP="0043495C" w:rsidRDefault="0043495C" w14:paraId="463A0AA1" w14:textId="77777777">
            <w:pPr>
              <w:widowControl/>
              <w:numPr>
                <w:ilvl w:val="0"/>
                <w:numId w:val="9"/>
              </w:numPr>
              <w:ind w:left="323" w:hanging="284"/>
              <w:contextualSpacing/>
              <w:jc w:val="left"/>
              <w:rPr>
                <w:rFonts w:eastAsia="Times New Roman" w:cs="Arial"/>
                <w:color w:val="3F3F3F"/>
                <w:kern w:val="24"/>
                <w:sz w:val="18"/>
                <w:szCs w:val="18"/>
                <w:lang w:val="lv-LV"/>
              </w:rPr>
            </w:pPr>
            <w:r w:rsidRPr="003F1C2F">
              <w:rPr>
                <w:rFonts w:eastAsia="Times New Roman" w:cs="Arial"/>
                <w:color w:val="3F3F3F"/>
                <w:kern w:val="24"/>
                <w:sz w:val="18"/>
                <w:szCs w:val="18"/>
                <w:lang w:val="lv-LV"/>
              </w:rPr>
              <w:t>Consulting and agreeing standards across the administration</w:t>
            </w:r>
          </w:p>
          <w:p w:rsidRPr="0058418A" w:rsidR="0058418A" w:rsidP="0058418A" w:rsidRDefault="0043495C" w14:paraId="599A5066" w14:textId="77777777">
            <w:pPr>
              <w:widowControl/>
              <w:numPr>
                <w:ilvl w:val="0"/>
                <w:numId w:val="9"/>
              </w:numPr>
              <w:ind w:left="323" w:hanging="284"/>
              <w:contextualSpacing/>
              <w:jc w:val="left"/>
            </w:pPr>
            <w:r>
              <w:rPr>
                <w:rFonts w:eastAsia="Times New Roman" w:cs="Arial"/>
                <w:color w:val="3F3F3F"/>
                <w:kern w:val="24"/>
                <w:sz w:val="18"/>
                <w:szCs w:val="18"/>
                <w:lang w:val="lv-LV"/>
              </w:rPr>
              <w:t>Communication of these standards to users</w:t>
            </w:r>
            <w:r w:rsidR="0058418A">
              <w:rPr>
                <w:rFonts w:eastAsia="Times New Roman" w:cs="Arial"/>
                <w:color w:val="3F3F3F"/>
                <w:kern w:val="24"/>
                <w:sz w:val="18"/>
                <w:szCs w:val="18"/>
                <w:lang w:val="lv-LV"/>
              </w:rPr>
              <w:t xml:space="preserve"> </w:t>
            </w:r>
          </w:p>
          <w:p w:rsidRPr="00454399" w:rsidR="0043495C" w:rsidP="0058418A" w:rsidRDefault="0043495C" w14:paraId="3D68FA7A" w14:textId="5BB21346">
            <w:pPr>
              <w:widowControl/>
              <w:numPr>
                <w:ilvl w:val="0"/>
                <w:numId w:val="9"/>
              </w:numPr>
              <w:ind w:left="323" w:hanging="284"/>
              <w:contextualSpacing/>
              <w:jc w:val="left"/>
            </w:pPr>
            <w:r w:rsidRPr="003F1C2F">
              <w:rPr>
                <w:rFonts w:eastAsia="Times New Roman" w:cs="Arial"/>
                <w:color w:val="3F3F3F"/>
                <w:kern w:val="24"/>
                <w:sz w:val="18"/>
                <w:szCs w:val="18"/>
                <w:lang w:val="lv-LV"/>
              </w:rPr>
              <w:t>Making organisations accountable and assessing them against the standards</w:t>
            </w:r>
          </w:p>
        </w:tc>
      </w:tr>
      <w:tr w:rsidRPr="00454399" w:rsidR="0058418A" w:rsidTr="00832509" w14:paraId="1FD19EA6" w14:textId="77777777">
        <w:trPr>
          <w:trHeight w:val="238"/>
        </w:trPr>
        <w:tc>
          <w:tcPr>
            <w:tcW w:w="965" w:type="pct"/>
            <w:vAlign w:val="center"/>
          </w:tcPr>
          <w:p w:rsidRPr="00454399" w:rsidR="0058418A" w:rsidP="00DE3D29" w:rsidRDefault="0058418A" w14:paraId="4862F614" w14:textId="371926B0">
            <w:pPr>
              <w:pStyle w:val="TableRow"/>
              <w:jc w:val="left"/>
            </w:pPr>
            <w:r>
              <w:rPr>
                <w:rFonts w:eastAsia="Times New Roman" w:cs="Arial"/>
                <w:b/>
                <w:bCs/>
                <w:color w:val="3F3F3F"/>
                <w:kern w:val="24"/>
                <w:sz w:val="18"/>
                <w:szCs w:val="18"/>
              </w:rPr>
              <w:t>O</w:t>
            </w:r>
            <w:r w:rsidRPr="00E0047A">
              <w:rPr>
                <w:rFonts w:eastAsia="Times New Roman" w:cs="Arial"/>
                <w:b/>
                <w:bCs/>
                <w:color w:val="3F3F3F"/>
                <w:kern w:val="24"/>
                <w:sz w:val="18"/>
                <w:szCs w:val="18"/>
              </w:rPr>
              <w:t xml:space="preserve">mni-channel approach to services </w:t>
            </w:r>
          </w:p>
        </w:tc>
        <w:tc>
          <w:tcPr>
            <w:tcW w:w="1976" w:type="pct"/>
            <w:vAlign w:val="center"/>
          </w:tcPr>
          <w:p w:rsidRPr="00454399" w:rsidR="0058418A" w:rsidP="00DE3D29" w:rsidRDefault="0058418A" w14:paraId="1787384E" w14:textId="5AEDF604">
            <w:pPr>
              <w:pStyle w:val="TableCell"/>
              <w:jc w:val="left"/>
            </w:pPr>
            <w:r w:rsidRPr="00E0047A">
              <w:rPr>
                <w:rFonts w:eastAsia="Times New Roman" w:cs="Arial"/>
                <w:color w:val="3F3F3F"/>
                <w:kern w:val="24"/>
                <w:sz w:val="18"/>
                <w:szCs w:val="18"/>
                <w:lang w:val="lv-LV"/>
              </w:rPr>
              <w:t xml:space="preserve">Maintaining an omni-channel approach to services (online, in-person, telephone, post) maximises user choice, </w:t>
            </w:r>
            <w:r w:rsidRPr="00E0047A">
              <w:rPr>
                <w:rFonts w:eastAsia="Times New Roman" w:cs="Arial"/>
                <w:color w:val="3F3F3F"/>
                <w:kern w:val="24"/>
                <w:sz w:val="18"/>
                <w:szCs w:val="18"/>
              </w:rPr>
              <w:t>increasing the likelihood of access through their preferred channel. User patterns and needs for accessing services across various channels change over time. Therefore, it is essential to monitor which channels users utili</w:t>
            </w:r>
            <w:r w:rsidRPr="00E0047A">
              <w:rPr>
                <w:rFonts w:eastAsia="Times New Roman" w:cs="Arial"/>
                <w:color w:val="3F3F3F"/>
                <w:kern w:val="24"/>
                <w:sz w:val="18"/>
                <w:szCs w:val="18"/>
                <w:lang w:val="lv-LV"/>
              </w:rPr>
              <w:t>s</w:t>
            </w:r>
            <w:r w:rsidRPr="00E0047A">
              <w:rPr>
                <w:rFonts w:eastAsia="Times New Roman" w:cs="Arial"/>
                <w:color w:val="3F3F3F"/>
                <w:kern w:val="24"/>
                <w:sz w:val="18"/>
                <w:szCs w:val="18"/>
              </w:rPr>
              <w:t>e most and the specific services or actions they require through those channels.</w:t>
            </w:r>
          </w:p>
        </w:tc>
        <w:tc>
          <w:tcPr>
            <w:tcW w:w="2059" w:type="pct"/>
          </w:tcPr>
          <w:p w:rsidRPr="0058418A" w:rsidR="0058418A" w:rsidP="0058418A" w:rsidRDefault="0058418A" w14:paraId="0FBF8B09" w14:textId="77777777">
            <w:pPr>
              <w:widowControl/>
              <w:numPr>
                <w:ilvl w:val="0"/>
                <w:numId w:val="9"/>
              </w:numPr>
              <w:ind w:left="323" w:hanging="284"/>
              <w:contextualSpacing/>
              <w:jc w:val="left"/>
              <w:rPr>
                <w:rFonts w:eastAsia="Times New Roman" w:cs="Arial"/>
                <w:color w:val="3F3F3F"/>
                <w:kern w:val="24"/>
                <w:sz w:val="18"/>
                <w:szCs w:val="18"/>
                <w:lang w:val="lv-LV"/>
              </w:rPr>
            </w:pPr>
            <w:r w:rsidRPr="00E0047A">
              <w:rPr>
                <w:rFonts w:eastAsia="Times New Roman" w:cs="Arial"/>
                <w:color w:val="3F3F3F"/>
                <w:kern w:val="24"/>
                <w:sz w:val="18"/>
                <w:szCs w:val="18"/>
                <w:lang w:val="lv-LV"/>
              </w:rPr>
              <w:t>Information provision on all available access channels for reaching a service in communication for users (websites, emails, letters)</w:t>
            </w:r>
          </w:p>
          <w:p w:rsidRPr="00454399" w:rsidR="0058418A" w:rsidP="00517F43" w:rsidRDefault="0058418A" w14:paraId="3987D669" w14:textId="7E6BE717">
            <w:pPr>
              <w:widowControl/>
              <w:numPr>
                <w:ilvl w:val="0"/>
                <w:numId w:val="9"/>
              </w:numPr>
              <w:ind w:left="323" w:hanging="284"/>
              <w:contextualSpacing/>
              <w:jc w:val="left"/>
            </w:pPr>
            <w:r>
              <w:rPr>
                <w:rFonts w:eastAsia="Times New Roman" w:cs="Arial"/>
                <w:color w:val="3F3F3F"/>
                <w:kern w:val="24"/>
                <w:sz w:val="18"/>
                <w:szCs w:val="18"/>
                <w:lang w:val="lv-LV"/>
              </w:rPr>
              <w:t>Collect and analyse data and satisfaction on access channels</w:t>
            </w:r>
            <w:r w:rsidR="00517F43">
              <w:rPr>
                <w:rFonts w:eastAsia="Times New Roman" w:cs="Arial"/>
                <w:color w:val="3F3F3F"/>
                <w:kern w:val="24"/>
                <w:sz w:val="18"/>
                <w:szCs w:val="18"/>
                <w:lang w:val="lv-LV"/>
              </w:rPr>
              <w:t xml:space="preserve"> and integrate data collection user preferred access and services required </w:t>
            </w:r>
          </w:p>
        </w:tc>
      </w:tr>
      <w:tr w:rsidRPr="00454399" w:rsidR="00517F43" w:rsidTr="00832509" w14:paraId="54A51602" w14:textId="77777777">
        <w:trPr>
          <w:trHeight w:val="238"/>
        </w:trPr>
        <w:tc>
          <w:tcPr>
            <w:tcW w:w="965" w:type="pct"/>
            <w:vAlign w:val="center"/>
          </w:tcPr>
          <w:p w:rsidRPr="00454399" w:rsidR="00517F43" w:rsidP="00DE3D29" w:rsidRDefault="00517F43" w14:paraId="47BFFB81" w14:textId="3F422A72">
            <w:pPr>
              <w:pStyle w:val="TableRow"/>
              <w:jc w:val="left"/>
            </w:pPr>
            <w:r>
              <w:rPr>
                <w:rFonts w:eastAsia="Times New Roman" w:cs="Arial"/>
                <w:b/>
                <w:bCs/>
                <w:color w:val="3F3F3F"/>
                <w:kern w:val="24"/>
                <w:sz w:val="18"/>
                <w:szCs w:val="18"/>
                <w:lang w:val="fr-FR"/>
              </w:rPr>
              <w:t>D</w:t>
            </w:r>
            <w:r w:rsidRPr="00E0047A">
              <w:rPr>
                <w:rFonts w:eastAsia="Times New Roman" w:cs="Arial"/>
                <w:b/>
                <w:bCs/>
                <w:color w:val="3F3F3F"/>
                <w:kern w:val="24"/>
                <w:sz w:val="18"/>
                <w:szCs w:val="18"/>
                <w:lang w:val="fr-FR"/>
              </w:rPr>
              <w:t xml:space="preserve">esign capabilities </w:t>
            </w:r>
          </w:p>
        </w:tc>
        <w:tc>
          <w:tcPr>
            <w:tcW w:w="1976" w:type="pct"/>
            <w:vAlign w:val="center"/>
          </w:tcPr>
          <w:p w:rsidRPr="00454399" w:rsidR="00517F43" w:rsidP="00DE3D29" w:rsidRDefault="00517F43" w14:paraId="2B205C5B" w14:textId="68631C6C">
            <w:pPr>
              <w:pStyle w:val="TableCell"/>
              <w:jc w:val="left"/>
            </w:pPr>
            <w:r w:rsidRPr="00E0047A">
              <w:rPr>
                <w:rFonts w:eastAsia="Times New Roman" w:cs="Arial"/>
                <w:color w:val="3F3F3F"/>
                <w:kern w:val="24"/>
                <w:sz w:val="18"/>
                <w:szCs w:val="18"/>
              </w:rPr>
              <w:t xml:space="preserve">The development of design capabilities is key to placing the User at the Centre. By integrating service designers in public service reforms, public services can be designed </w:t>
            </w:r>
            <w:r>
              <w:rPr>
                <w:rFonts w:eastAsia="Times New Roman" w:cs="Arial"/>
                <w:color w:val="3F3F3F"/>
                <w:kern w:val="24"/>
                <w:sz w:val="18"/>
                <w:szCs w:val="18"/>
              </w:rPr>
              <w:t>around</w:t>
            </w:r>
            <w:r w:rsidRPr="00E0047A">
              <w:rPr>
                <w:rFonts w:eastAsia="Times New Roman" w:cs="Arial"/>
                <w:color w:val="3F3F3F"/>
                <w:kern w:val="24"/>
                <w:sz w:val="18"/>
                <w:szCs w:val="18"/>
              </w:rPr>
              <w:t xml:space="preserve"> users’ needs are considered from the beginning of the reform process</w:t>
            </w:r>
            <w:r w:rsidRPr="00517F43">
              <w:rPr>
                <w:rFonts w:eastAsia="Times New Roman" w:cs="Arial"/>
                <w:color w:val="3F3F3F"/>
                <w:kern w:val="24"/>
                <w:sz w:val="18"/>
                <w:szCs w:val="18"/>
              </w:rPr>
              <w:t>.</w:t>
            </w:r>
          </w:p>
        </w:tc>
        <w:tc>
          <w:tcPr>
            <w:tcW w:w="2059" w:type="pct"/>
          </w:tcPr>
          <w:p w:rsidRPr="00517F43" w:rsidR="00517F43" w:rsidP="00517F43" w:rsidRDefault="00517F43" w14:paraId="3D46403D" w14:textId="77777777">
            <w:pPr>
              <w:widowControl/>
              <w:numPr>
                <w:ilvl w:val="0"/>
                <w:numId w:val="9"/>
              </w:numPr>
              <w:ind w:left="323" w:hanging="284"/>
              <w:contextualSpacing/>
              <w:jc w:val="left"/>
              <w:rPr>
                <w:rFonts w:eastAsia="Times New Roman" w:cs="Arial"/>
                <w:color w:val="3F3F3F"/>
                <w:kern w:val="24"/>
                <w:sz w:val="18"/>
                <w:szCs w:val="18"/>
                <w:lang w:val="lv-LV"/>
              </w:rPr>
            </w:pPr>
            <w:r w:rsidRPr="00517F43">
              <w:rPr>
                <w:rFonts w:eastAsia="Times New Roman" w:cs="Arial"/>
                <w:color w:val="3F3F3F"/>
                <w:kern w:val="24"/>
                <w:sz w:val="18"/>
                <w:szCs w:val="18"/>
                <w:lang w:val="lv-LV"/>
              </w:rPr>
              <w:t xml:space="preserve">Recruitment of </w:t>
            </w:r>
            <w:r w:rsidRPr="00E0047A">
              <w:rPr>
                <w:rFonts w:eastAsia="Times New Roman" w:cs="Arial"/>
                <w:color w:val="3F3F3F"/>
                <w:kern w:val="24"/>
                <w:sz w:val="18"/>
                <w:szCs w:val="18"/>
                <w:lang w:val="lv-LV"/>
              </w:rPr>
              <w:t>d</w:t>
            </w:r>
            <w:r w:rsidRPr="00517F43">
              <w:rPr>
                <w:rFonts w:eastAsia="Times New Roman" w:cs="Arial"/>
                <w:color w:val="3F3F3F"/>
                <w:kern w:val="24"/>
                <w:sz w:val="18"/>
                <w:szCs w:val="18"/>
                <w:lang w:val="lv-LV"/>
              </w:rPr>
              <w:t xml:space="preserve">esign </w:t>
            </w:r>
            <w:r w:rsidRPr="00E0047A">
              <w:rPr>
                <w:rFonts w:eastAsia="Times New Roman" w:cs="Arial"/>
                <w:color w:val="3F3F3F"/>
                <w:kern w:val="24"/>
                <w:sz w:val="18"/>
                <w:szCs w:val="18"/>
                <w:lang w:val="lv-LV"/>
              </w:rPr>
              <w:t>e</w:t>
            </w:r>
            <w:r w:rsidRPr="00517F43">
              <w:rPr>
                <w:rFonts w:eastAsia="Times New Roman" w:cs="Arial"/>
                <w:color w:val="3F3F3F"/>
                <w:kern w:val="24"/>
                <w:sz w:val="18"/>
                <w:szCs w:val="18"/>
                <w:lang w:val="lv-LV"/>
              </w:rPr>
              <w:t xml:space="preserve">xperts within government </w:t>
            </w:r>
          </w:p>
          <w:p w:rsidRPr="00517F43" w:rsidR="00517F43" w:rsidP="00517F43" w:rsidRDefault="00517F43" w14:paraId="4B1B384E" w14:textId="77777777">
            <w:pPr>
              <w:widowControl/>
              <w:numPr>
                <w:ilvl w:val="0"/>
                <w:numId w:val="9"/>
              </w:numPr>
              <w:ind w:left="323" w:hanging="284"/>
              <w:contextualSpacing/>
              <w:jc w:val="left"/>
              <w:rPr>
                <w:rFonts w:eastAsia="Times New Roman" w:cs="Arial"/>
                <w:color w:val="3F3F3F"/>
                <w:kern w:val="24"/>
                <w:sz w:val="18"/>
                <w:szCs w:val="18"/>
                <w:lang w:val="lv-LV"/>
              </w:rPr>
            </w:pPr>
            <w:r w:rsidRPr="00517F43">
              <w:rPr>
                <w:rFonts w:eastAsia="Times New Roman" w:cs="Arial"/>
                <w:color w:val="3F3F3F"/>
                <w:kern w:val="24"/>
                <w:sz w:val="18"/>
                <w:szCs w:val="18"/>
                <w:lang w:val="lv-LV"/>
              </w:rPr>
              <w:t xml:space="preserve">Integration of design capabilities within administrations leading public service reforms </w:t>
            </w:r>
          </w:p>
          <w:p w:rsidRPr="00517F43" w:rsidR="00517F43" w:rsidP="00517F43" w:rsidRDefault="00517F43" w14:paraId="6E4BE180" w14:textId="77777777">
            <w:pPr>
              <w:widowControl/>
              <w:numPr>
                <w:ilvl w:val="0"/>
                <w:numId w:val="9"/>
              </w:numPr>
              <w:ind w:left="323" w:hanging="284"/>
              <w:contextualSpacing/>
              <w:jc w:val="left"/>
              <w:rPr>
                <w:rFonts w:eastAsia="Times New Roman" w:cs="Arial"/>
                <w:color w:val="3F3F3F"/>
                <w:kern w:val="24"/>
                <w:sz w:val="18"/>
                <w:szCs w:val="18"/>
                <w:lang w:val="lv-LV"/>
              </w:rPr>
            </w:pPr>
            <w:r w:rsidRPr="00517F43">
              <w:rPr>
                <w:rFonts w:eastAsia="Times New Roman" w:cs="Arial"/>
                <w:color w:val="3F3F3F"/>
                <w:kern w:val="24"/>
                <w:sz w:val="18"/>
                <w:szCs w:val="18"/>
                <w:lang w:val="lv-LV"/>
              </w:rPr>
              <w:t>Partnerships with design expertise through universities/specialised institutions</w:t>
            </w:r>
            <w:r w:rsidRPr="00E0047A">
              <w:rPr>
                <w:rFonts w:eastAsia="Times New Roman" w:cs="Arial"/>
                <w:color w:val="3F3F3F"/>
                <w:kern w:val="24"/>
                <w:sz w:val="18"/>
                <w:szCs w:val="18"/>
                <w:lang w:val="lv-LV"/>
              </w:rPr>
              <w:t>/private sector</w:t>
            </w:r>
          </w:p>
          <w:p w:rsidRPr="00454399" w:rsidR="00517F43" w:rsidP="00517F43" w:rsidRDefault="00517F43" w14:paraId="1383D665" w14:textId="7016CB2E">
            <w:pPr>
              <w:widowControl/>
              <w:numPr>
                <w:ilvl w:val="0"/>
                <w:numId w:val="9"/>
              </w:numPr>
              <w:ind w:left="323" w:hanging="284"/>
              <w:contextualSpacing/>
              <w:jc w:val="left"/>
            </w:pPr>
            <w:r w:rsidRPr="00517F43">
              <w:rPr>
                <w:rFonts w:eastAsia="Times New Roman" w:cs="Arial"/>
                <w:color w:val="3F3F3F"/>
                <w:kern w:val="24"/>
                <w:sz w:val="18"/>
                <w:szCs w:val="18"/>
                <w:lang w:val="lv-LV"/>
              </w:rPr>
              <w:t xml:space="preserve">Deployment of </w:t>
            </w:r>
            <w:r w:rsidRPr="00E0047A">
              <w:rPr>
                <w:rFonts w:eastAsia="Times New Roman" w:cs="Arial"/>
                <w:color w:val="3F3F3F"/>
                <w:kern w:val="24"/>
                <w:sz w:val="18"/>
                <w:szCs w:val="18"/>
                <w:lang w:val="lv-LV"/>
              </w:rPr>
              <w:t>d</w:t>
            </w:r>
            <w:r w:rsidRPr="00517F43">
              <w:rPr>
                <w:rFonts w:eastAsia="Times New Roman" w:cs="Arial"/>
                <w:color w:val="3F3F3F"/>
                <w:kern w:val="24"/>
                <w:sz w:val="18"/>
                <w:szCs w:val="18"/>
                <w:lang w:val="lv-LV"/>
              </w:rPr>
              <w:t xml:space="preserve">esign </w:t>
            </w:r>
            <w:r w:rsidRPr="00E0047A">
              <w:rPr>
                <w:rFonts w:eastAsia="Times New Roman" w:cs="Arial"/>
                <w:color w:val="3F3F3F"/>
                <w:kern w:val="24"/>
                <w:sz w:val="18"/>
                <w:szCs w:val="18"/>
                <w:lang w:val="lv-LV"/>
              </w:rPr>
              <w:t>h</w:t>
            </w:r>
            <w:r w:rsidRPr="00517F43">
              <w:rPr>
                <w:rFonts w:eastAsia="Times New Roman" w:cs="Arial"/>
                <w:color w:val="3F3F3F"/>
                <w:kern w:val="24"/>
                <w:sz w:val="18"/>
                <w:szCs w:val="18"/>
                <w:lang w:val="lv-LV"/>
              </w:rPr>
              <w:t>ackathons within administrations</w:t>
            </w:r>
            <w:r w:rsidRPr="00E0047A">
              <w:rPr>
                <w:rFonts w:eastAsia="Times New Roman" w:cs="Arial"/>
                <w:color w:val="3F3F3F"/>
                <w:kern w:val="24"/>
                <w:sz w:val="18"/>
                <w:szCs w:val="18"/>
              </w:rPr>
              <w:t xml:space="preserve"> </w:t>
            </w:r>
          </w:p>
        </w:tc>
      </w:tr>
      <w:tr w:rsidRPr="00454399" w:rsidR="00517F43" w:rsidTr="00832509" w14:paraId="531F538E" w14:textId="77777777">
        <w:trPr>
          <w:trHeight w:val="238"/>
        </w:trPr>
        <w:tc>
          <w:tcPr>
            <w:tcW w:w="965" w:type="pct"/>
            <w:vAlign w:val="center"/>
          </w:tcPr>
          <w:p w:rsidRPr="00454399" w:rsidR="00517F43" w:rsidP="00DE3D29" w:rsidRDefault="00517F43" w14:paraId="5C4A3054" w14:textId="2253B592">
            <w:pPr>
              <w:pStyle w:val="TableRow"/>
              <w:jc w:val="left"/>
            </w:pPr>
            <w:r>
              <w:rPr>
                <w:rFonts w:eastAsia="Times New Roman" w:cs="Arial"/>
                <w:b/>
                <w:bCs/>
                <w:color w:val="3F3F3F"/>
                <w:kern w:val="24"/>
                <w:sz w:val="18"/>
                <w:szCs w:val="18"/>
              </w:rPr>
              <w:t xml:space="preserve">Tools and </w:t>
            </w:r>
            <w:r w:rsidRPr="00E0047A">
              <w:rPr>
                <w:rFonts w:eastAsia="Times New Roman" w:cs="Arial"/>
                <w:b/>
                <w:bCs/>
                <w:color w:val="3F3F3F"/>
                <w:kern w:val="24"/>
                <w:sz w:val="18"/>
                <w:szCs w:val="18"/>
              </w:rPr>
              <w:t xml:space="preserve">methods for understanding user needs </w:t>
            </w:r>
          </w:p>
        </w:tc>
        <w:tc>
          <w:tcPr>
            <w:tcW w:w="1976" w:type="pct"/>
            <w:vAlign w:val="center"/>
          </w:tcPr>
          <w:p w:rsidRPr="00454399" w:rsidR="00517F43" w:rsidP="00DE3D29" w:rsidRDefault="00517F43" w14:paraId="252CEC0C" w14:textId="0069700B">
            <w:pPr>
              <w:pStyle w:val="TableCell"/>
              <w:jc w:val="left"/>
            </w:pPr>
            <w:r w:rsidRPr="00E0047A">
              <w:rPr>
                <w:rFonts w:eastAsia="Times New Roman" w:cs="Arial"/>
                <w:color w:val="3F3F3F"/>
                <w:kern w:val="24"/>
                <w:sz w:val="18"/>
                <w:szCs w:val="18"/>
              </w:rPr>
              <w:t xml:space="preserve">Several methods can be used to map the journey of users. Understanding the user </w:t>
            </w:r>
            <w:r w:rsidRPr="00517F43">
              <w:rPr>
                <w:rFonts w:eastAsia="Times New Roman" w:cs="Arial"/>
                <w:color w:val="3F3F3F"/>
                <w:kern w:val="24"/>
                <w:sz w:val="18"/>
                <w:szCs w:val="18"/>
              </w:rPr>
              <w:t>experience</w:t>
            </w:r>
            <w:r w:rsidRPr="00E0047A">
              <w:rPr>
                <w:rFonts w:eastAsia="Times New Roman" w:cs="Arial"/>
                <w:color w:val="3F3F3F"/>
                <w:kern w:val="24"/>
                <w:sz w:val="18"/>
                <w:szCs w:val="18"/>
              </w:rPr>
              <w:t xml:space="preserve"> through the eyes of the user enables public administrations to understand the steps taken by users when accessing public services</w:t>
            </w:r>
            <w:r>
              <w:rPr>
                <w:rFonts w:eastAsia="Times New Roman" w:cs="Arial"/>
                <w:color w:val="3F3F3F"/>
                <w:kern w:val="24"/>
                <w:sz w:val="18"/>
                <w:szCs w:val="18"/>
              </w:rPr>
              <w:t>. This can in turn help the public administration to improve and redesign the service according to the pain points and obstacles actually faced by users</w:t>
            </w:r>
            <w:r w:rsidRPr="00517F43">
              <w:rPr>
                <w:rFonts w:eastAsia="Times New Roman" w:cs="Arial"/>
                <w:color w:val="3F3F3F"/>
                <w:kern w:val="24"/>
                <w:sz w:val="18"/>
                <w:szCs w:val="18"/>
              </w:rPr>
              <w:t>.</w:t>
            </w:r>
          </w:p>
        </w:tc>
        <w:tc>
          <w:tcPr>
            <w:tcW w:w="2059" w:type="pct"/>
          </w:tcPr>
          <w:p w:rsidRPr="00517F43" w:rsidR="00517F43" w:rsidP="00517F43" w:rsidRDefault="00517F43" w14:paraId="67FC0CD7" w14:textId="77777777">
            <w:pPr>
              <w:widowControl/>
              <w:numPr>
                <w:ilvl w:val="0"/>
                <w:numId w:val="9"/>
              </w:numPr>
              <w:ind w:left="323" w:hanging="284"/>
              <w:contextualSpacing/>
              <w:jc w:val="left"/>
              <w:rPr>
                <w:rFonts w:eastAsia="Times New Roman" w:cs="Arial"/>
                <w:color w:val="3F3F3F"/>
                <w:kern w:val="24"/>
                <w:sz w:val="18"/>
                <w:szCs w:val="18"/>
                <w:lang w:val="lv-LV"/>
              </w:rPr>
            </w:pPr>
            <w:r w:rsidRPr="00517F43">
              <w:rPr>
                <w:rFonts w:eastAsia="Times New Roman" w:cs="Arial"/>
                <w:color w:val="3F3F3F"/>
                <w:kern w:val="24"/>
                <w:sz w:val="18"/>
                <w:szCs w:val="18"/>
                <w:lang w:val="lv-LV"/>
              </w:rPr>
              <w:t>Development of practices for designing the ‘as-is’ and ‘to-be’ situation for the user</w:t>
            </w:r>
          </w:p>
          <w:p w:rsidRPr="00517F43" w:rsidR="00517F43" w:rsidP="00517F43" w:rsidRDefault="00517F43" w14:paraId="4B8592CF" w14:textId="77777777">
            <w:pPr>
              <w:widowControl/>
              <w:numPr>
                <w:ilvl w:val="0"/>
                <w:numId w:val="9"/>
              </w:numPr>
              <w:ind w:left="323" w:hanging="284"/>
              <w:contextualSpacing/>
              <w:jc w:val="left"/>
              <w:rPr>
                <w:rFonts w:eastAsia="Times New Roman" w:cs="Arial"/>
                <w:color w:val="3F3F3F"/>
                <w:kern w:val="24"/>
                <w:sz w:val="18"/>
                <w:szCs w:val="18"/>
                <w:lang w:val="lv-LV"/>
              </w:rPr>
            </w:pPr>
            <w:r w:rsidRPr="00517F43">
              <w:rPr>
                <w:rFonts w:eastAsia="Times New Roman" w:cs="Arial"/>
                <w:color w:val="3F3F3F"/>
                <w:kern w:val="24"/>
                <w:sz w:val="18"/>
                <w:szCs w:val="18"/>
                <w:lang w:val="lv-LV"/>
              </w:rPr>
              <w:t>Deployment of qualitative data collection techniques for mapping the user journey (user interviews, focus groups, workshops, social media listening)</w:t>
            </w:r>
          </w:p>
          <w:p w:rsidRPr="00517F43" w:rsidR="00517F43" w:rsidP="00517F43" w:rsidRDefault="00517F43" w14:paraId="5E5DFD58" w14:textId="77777777">
            <w:pPr>
              <w:widowControl/>
              <w:numPr>
                <w:ilvl w:val="0"/>
                <w:numId w:val="9"/>
              </w:numPr>
              <w:ind w:left="323" w:hanging="284"/>
              <w:contextualSpacing/>
              <w:jc w:val="left"/>
              <w:rPr>
                <w:rFonts w:eastAsia="Times New Roman" w:cs="Arial"/>
                <w:color w:val="3F3F3F"/>
                <w:kern w:val="24"/>
                <w:sz w:val="18"/>
                <w:szCs w:val="18"/>
                <w:lang w:val="lv-LV"/>
              </w:rPr>
            </w:pPr>
            <w:r w:rsidRPr="00517F43">
              <w:rPr>
                <w:rFonts w:eastAsia="Times New Roman" w:cs="Arial"/>
                <w:color w:val="3F3F3F"/>
                <w:kern w:val="24"/>
                <w:sz w:val="18"/>
                <w:szCs w:val="18"/>
                <w:lang w:val="lv-LV"/>
              </w:rPr>
              <w:t>Design of action plans (and templates) to improve the services based on the user journey mapping</w:t>
            </w:r>
          </w:p>
          <w:p w:rsidRPr="00454399" w:rsidR="00517F43" w:rsidP="00517F43" w:rsidRDefault="00517F43" w14:paraId="4768408E" w14:textId="56CCF342">
            <w:pPr>
              <w:widowControl/>
              <w:numPr>
                <w:ilvl w:val="0"/>
                <w:numId w:val="9"/>
              </w:numPr>
              <w:ind w:left="323" w:hanging="284"/>
              <w:contextualSpacing/>
              <w:jc w:val="left"/>
            </w:pPr>
            <w:r w:rsidRPr="00517F43">
              <w:rPr>
                <w:rFonts w:eastAsia="Times New Roman" w:cs="Arial"/>
                <w:color w:val="3F3F3F"/>
                <w:kern w:val="24"/>
                <w:sz w:val="18"/>
                <w:szCs w:val="18"/>
                <w:lang w:val="lv-LV"/>
              </w:rPr>
              <w:t>Establishment of unified web platforms / tool boxes and training for disseminating methods on user needs across public administration</w:t>
            </w:r>
          </w:p>
        </w:tc>
      </w:tr>
      <w:tr w:rsidRPr="00454399" w:rsidR="00517F43" w:rsidTr="00832509" w14:paraId="13791A8A" w14:textId="77777777">
        <w:trPr>
          <w:trHeight w:val="238"/>
        </w:trPr>
        <w:tc>
          <w:tcPr>
            <w:tcW w:w="965" w:type="pct"/>
            <w:vAlign w:val="center"/>
          </w:tcPr>
          <w:p w:rsidR="00517F43" w:rsidP="00DE3D29" w:rsidRDefault="00517F43" w14:paraId="549E97CD" w14:textId="6DA24AA6">
            <w:pPr>
              <w:pStyle w:val="TableRow"/>
              <w:jc w:val="left"/>
              <w:rPr>
                <w:rFonts w:eastAsia="Times New Roman" w:cs="Arial"/>
                <w:b/>
                <w:bCs/>
                <w:color w:val="3F3F3F"/>
                <w:kern w:val="24"/>
                <w:sz w:val="18"/>
                <w:szCs w:val="18"/>
              </w:rPr>
            </w:pPr>
            <w:r>
              <w:rPr>
                <w:rFonts w:eastAsia="Times New Roman" w:cs="Arial"/>
                <w:b/>
                <w:bCs/>
                <w:color w:val="3F3F3F"/>
                <w:kern w:val="24"/>
                <w:sz w:val="18"/>
                <w:szCs w:val="18"/>
              </w:rPr>
              <w:t>P</w:t>
            </w:r>
            <w:r w:rsidRPr="00E0047A">
              <w:rPr>
                <w:rFonts w:eastAsia="Times New Roman" w:cs="Arial"/>
                <w:b/>
                <w:bCs/>
                <w:color w:val="3F3F3F"/>
                <w:kern w:val="24"/>
                <w:sz w:val="18"/>
                <w:szCs w:val="18"/>
              </w:rPr>
              <w:t xml:space="preserve">roactive communication methods </w:t>
            </w:r>
            <w:r w:rsidRPr="00E0047A">
              <w:rPr>
                <w:rFonts w:eastAsia="Times New Roman" w:cs="Arial"/>
                <w:b/>
                <w:bCs/>
                <w:color w:val="3F3F3F"/>
                <w:kern w:val="24"/>
                <w:sz w:val="18"/>
                <w:szCs w:val="18"/>
                <w:lang w:val="lv-LV"/>
              </w:rPr>
              <w:t>with users</w:t>
            </w:r>
          </w:p>
        </w:tc>
        <w:tc>
          <w:tcPr>
            <w:tcW w:w="1976" w:type="pct"/>
            <w:vAlign w:val="center"/>
          </w:tcPr>
          <w:p w:rsidRPr="00E0047A" w:rsidR="00517F43" w:rsidP="00DE3D29" w:rsidRDefault="00517F43" w14:paraId="633279BF" w14:textId="0616C3EF">
            <w:pPr>
              <w:pStyle w:val="TableCell"/>
              <w:jc w:val="left"/>
              <w:rPr>
                <w:rFonts w:eastAsia="Times New Roman" w:cs="Arial"/>
                <w:color w:val="3F3F3F"/>
                <w:kern w:val="24"/>
                <w:sz w:val="18"/>
                <w:szCs w:val="18"/>
              </w:rPr>
            </w:pPr>
            <w:r w:rsidRPr="00E0047A">
              <w:rPr>
                <w:rFonts w:eastAsia="Times New Roman" w:cs="Arial"/>
                <w:color w:val="3F3F3F"/>
                <w:kern w:val="24"/>
                <w:sz w:val="18"/>
                <w:szCs w:val="18"/>
                <w:lang w:val="lv-LV"/>
              </w:rPr>
              <w:t xml:space="preserve">Proactive communication in service delivery </w:t>
            </w:r>
            <w:r>
              <w:rPr>
                <w:rFonts w:eastAsia="Times New Roman" w:cs="Arial"/>
                <w:color w:val="3F3F3F"/>
                <w:kern w:val="24"/>
                <w:sz w:val="18"/>
                <w:szCs w:val="18"/>
                <w:lang w:val="lv-LV"/>
              </w:rPr>
              <w:t xml:space="preserve">collects, </w:t>
            </w:r>
            <w:r w:rsidRPr="00E0047A">
              <w:rPr>
                <w:rFonts w:eastAsia="Times New Roman" w:cs="Arial"/>
                <w:color w:val="3F3F3F"/>
                <w:kern w:val="24"/>
                <w:sz w:val="18"/>
                <w:szCs w:val="18"/>
                <w:lang w:val="lv-LV"/>
              </w:rPr>
              <w:t>anticipates the needs and obligations of users before an event or issue arrise. By leveraging such communication, public service providers can motivate users to timely devise solutions, better prepare for using a service and mitigate possible challenges.</w:t>
            </w:r>
          </w:p>
        </w:tc>
        <w:tc>
          <w:tcPr>
            <w:tcW w:w="2059" w:type="pct"/>
          </w:tcPr>
          <w:p w:rsidRPr="00E0047A" w:rsidR="00517F43" w:rsidP="00517F43" w:rsidRDefault="00517F43" w14:paraId="32676498" w14:textId="77777777">
            <w:pPr>
              <w:widowControl/>
              <w:numPr>
                <w:ilvl w:val="0"/>
                <w:numId w:val="13"/>
              </w:numPr>
              <w:ind w:left="323" w:hanging="323"/>
              <w:contextualSpacing/>
              <w:jc w:val="left"/>
              <w:rPr>
                <w:rFonts w:ascii="Arial" w:hAnsi="Arial" w:eastAsia="Times New Roman" w:cs="Arial"/>
                <w:sz w:val="18"/>
                <w:szCs w:val="36"/>
              </w:rPr>
            </w:pPr>
            <w:r w:rsidRPr="00E0047A">
              <w:rPr>
                <w:rFonts w:eastAsia="Times New Roman" w:cs="Arial"/>
                <w:color w:val="3F3F3F"/>
                <w:kern w:val="24"/>
                <w:sz w:val="18"/>
                <w:szCs w:val="18"/>
              </w:rPr>
              <w:t xml:space="preserve">Use of chatbots and virtual assistants to notify users of duties and obligations </w:t>
            </w:r>
          </w:p>
          <w:p w:rsidRPr="00E0047A" w:rsidR="00517F43" w:rsidP="00517F43" w:rsidRDefault="00517F43" w14:paraId="438ADA9C" w14:textId="77777777">
            <w:pPr>
              <w:widowControl/>
              <w:numPr>
                <w:ilvl w:val="0"/>
                <w:numId w:val="13"/>
              </w:numPr>
              <w:ind w:left="323" w:hanging="323"/>
              <w:contextualSpacing/>
              <w:jc w:val="left"/>
              <w:rPr>
                <w:rFonts w:ascii="Arial" w:hAnsi="Arial" w:eastAsia="Times New Roman" w:cs="Arial"/>
                <w:sz w:val="18"/>
                <w:szCs w:val="36"/>
              </w:rPr>
            </w:pPr>
            <w:r w:rsidRPr="00E0047A">
              <w:rPr>
                <w:rFonts w:eastAsia="Times New Roman" w:cs="Arial"/>
                <w:color w:val="3F3F3F"/>
                <w:kern w:val="24"/>
                <w:sz w:val="18"/>
                <w:szCs w:val="18"/>
                <w:lang w:val="lv-LV"/>
              </w:rPr>
              <w:t>Sending reminders about the need or obligation of public service in advance via either post or digital options (SMS/WhatsApp, emails)</w:t>
            </w:r>
          </w:p>
          <w:p w:rsidRPr="00517F43" w:rsidR="00517F43" w:rsidP="00517F43" w:rsidRDefault="00517F43" w14:paraId="22759245" w14:textId="40F15FC6">
            <w:pPr>
              <w:widowControl/>
              <w:numPr>
                <w:ilvl w:val="0"/>
                <w:numId w:val="9"/>
              </w:numPr>
              <w:ind w:left="323" w:hanging="284"/>
              <w:contextualSpacing/>
              <w:jc w:val="left"/>
              <w:rPr>
                <w:rFonts w:eastAsia="Times New Roman" w:cs="Arial"/>
                <w:color w:val="3F3F3F"/>
                <w:kern w:val="24"/>
                <w:sz w:val="18"/>
                <w:szCs w:val="18"/>
                <w:lang w:val="lv-LV"/>
              </w:rPr>
            </w:pPr>
            <w:r w:rsidRPr="00E0047A">
              <w:rPr>
                <w:rFonts w:eastAsia="Times New Roman" w:cs="Arial"/>
                <w:color w:val="3F3F3F"/>
                <w:kern w:val="24"/>
                <w:sz w:val="18"/>
                <w:szCs w:val="18"/>
                <w:lang w:val="lv-LV"/>
              </w:rPr>
              <w:t>Deployment of anticipated, regular and recurrent online and/or in-person sessions to inform about services</w:t>
            </w:r>
          </w:p>
        </w:tc>
      </w:tr>
      <w:tr w:rsidRPr="00454399" w:rsidR="00517F43" w:rsidTr="00832509" w14:paraId="23DB36E7" w14:textId="77777777">
        <w:trPr>
          <w:trHeight w:val="238"/>
        </w:trPr>
        <w:tc>
          <w:tcPr>
            <w:tcW w:w="965" w:type="pct"/>
          </w:tcPr>
          <w:p w:rsidR="00517F43" w:rsidP="00517F43" w:rsidRDefault="00517F43" w14:paraId="3BF2A177" w14:textId="6E956BF2">
            <w:pPr>
              <w:pStyle w:val="TableRow"/>
              <w:rPr>
                <w:rFonts w:eastAsia="Times New Roman" w:cs="Arial"/>
                <w:b/>
                <w:bCs/>
                <w:color w:val="3F3F3F"/>
                <w:kern w:val="24"/>
                <w:sz w:val="18"/>
                <w:szCs w:val="18"/>
              </w:rPr>
            </w:pPr>
            <w:r>
              <w:rPr>
                <w:rFonts w:eastAsia="Times New Roman" w:cs="Arial"/>
                <w:b/>
                <w:bCs/>
                <w:color w:val="3F3F3F"/>
                <w:kern w:val="24"/>
                <w:sz w:val="18"/>
                <w:szCs w:val="18"/>
              </w:rPr>
              <w:t>D</w:t>
            </w:r>
            <w:r w:rsidRPr="00E0047A">
              <w:rPr>
                <w:rFonts w:eastAsia="Times New Roman" w:cs="Arial"/>
                <w:b/>
                <w:bCs/>
                <w:color w:val="3F3F3F"/>
                <w:kern w:val="24"/>
                <w:sz w:val="18"/>
                <w:szCs w:val="18"/>
              </w:rPr>
              <w:t>ata collect</w:t>
            </w:r>
            <w:r w:rsidRPr="00E0047A">
              <w:rPr>
                <w:rFonts w:eastAsia="Times New Roman" w:cs="Arial"/>
                <w:b/>
                <w:bCs/>
                <w:color w:val="3F3F3F"/>
                <w:kern w:val="24"/>
                <w:sz w:val="18"/>
                <w:szCs w:val="18"/>
                <w:lang w:val="lv-LV"/>
              </w:rPr>
              <w:t>ion</w:t>
            </w:r>
            <w:r w:rsidRPr="00E0047A">
              <w:rPr>
                <w:rFonts w:eastAsia="Times New Roman" w:cs="Arial"/>
                <w:b/>
                <w:bCs/>
                <w:color w:val="3F3F3F"/>
                <w:kern w:val="24"/>
                <w:sz w:val="18"/>
                <w:szCs w:val="18"/>
              </w:rPr>
              <w:t xml:space="preserve"> on public service delivery </w:t>
            </w:r>
          </w:p>
        </w:tc>
        <w:tc>
          <w:tcPr>
            <w:tcW w:w="1976" w:type="pct"/>
          </w:tcPr>
          <w:p w:rsidRPr="00E0047A" w:rsidR="00517F43" w:rsidP="00517F43" w:rsidRDefault="00517F43" w14:paraId="662914D7" w14:textId="755B1540">
            <w:pPr>
              <w:pStyle w:val="TableCell"/>
              <w:jc w:val="left"/>
              <w:rPr>
                <w:rFonts w:eastAsia="Times New Roman" w:cs="Arial"/>
                <w:color w:val="3F3F3F"/>
                <w:kern w:val="24"/>
                <w:sz w:val="18"/>
                <w:szCs w:val="18"/>
                <w:lang w:val="lv-LV"/>
              </w:rPr>
            </w:pPr>
            <w:r w:rsidRPr="00E0047A">
              <w:rPr>
                <w:rFonts w:eastAsia="Times New Roman" w:cs="Arial"/>
                <w:color w:val="3F3F3F"/>
                <w:kern w:val="24"/>
                <w:sz w:val="18"/>
                <w:szCs w:val="18"/>
                <w:lang w:val="lv-LV"/>
              </w:rPr>
              <w:t>Proactive service delivery relies on data that is high quality, accurate and up-to-date, necessitating sound and timely data collection and processing methods.</w:t>
            </w:r>
          </w:p>
        </w:tc>
        <w:tc>
          <w:tcPr>
            <w:tcW w:w="2059" w:type="pct"/>
          </w:tcPr>
          <w:p w:rsidRPr="00517F43" w:rsidR="00517F43" w:rsidP="00517F43" w:rsidRDefault="00517F43" w14:paraId="424B3FA5" w14:textId="77777777">
            <w:pPr>
              <w:widowControl/>
              <w:numPr>
                <w:ilvl w:val="0"/>
                <w:numId w:val="9"/>
              </w:numPr>
              <w:ind w:left="323" w:hanging="284"/>
              <w:contextualSpacing/>
              <w:jc w:val="left"/>
              <w:rPr>
                <w:rFonts w:eastAsia="Times New Roman" w:cs="Arial"/>
                <w:color w:val="3F3F3F"/>
                <w:kern w:val="24"/>
                <w:sz w:val="18"/>
                <w:szCs w:val="18"/>
                <w:lang w:val="lv-LV"/>
              </w:rPr>
            </w:pPr>
            <w:r w:rsidRPr="00517F43">
              <w:rPr>
                <w:rFonts w:eastAsia="Times New Roman" w:cs="Arial"/>
                <w:color w:val="3F3F3F"/>
                <w:kern w:val="24"/>
                <w:sz w:val="18"/>
                <w:szCs w:val="18"/>
                <w:lang w:val="lv-LV"/>
              </w:rPr>
              <w:t>Collect information through regular surveys and feedback mechanisms with users</w:t>
            </w:r>
          </w:p>
          <w:p w:rsidRPr="00517F43" w:rsidR="00517F43" w:rsidP="00517F43" w:rsidRDefault="00517F43" w14:paraId="5BD57F79" w14:textId="77777777">
            <w:pPr>
              <w:widowControl/>
              <w:numPr>
                <w:ilvl w:val="0"/>
                <w:numId w:val="9"/>
              </w:numPr>
              <w:ind w:left="323" w:hanging="284"/>
              <w:contextualSpacing/>
              <w:jc w:val="left"/>
              <w:rPr>
                <w:rFonts w:eastAsia="Times New Roman" w:cs="Arial"/>
                <w:color w:val="3F3F3F"/>
                <w:kern w:val="24"/>
                <w:sz w:val="18"/>
                <w:szCs w:val="18"/>
                <w:lang w:val="lv-LV"/>
              </w:rPr>
            </w:pPr>
            <w:r w:rsidRPr="00E0047A">
              <w:rPr>
                <w:rFonts w:eastAsia="Times New Roman" w:cs="Arial"/>
                <w:color w:val="3F3F3F"/>
                <w:kern w:val="24"/>
                <w:sz w:val="18"/>
                <w:szCs w:val="18"/>
                <w:lang w:val="lv-LV"/>
              </w:rPr>
              <w:t>Implement systems that gather data in real time</w:t>
            </w:r>
          </w:p>
          <w:p w:rsidRPr="00E0047A" w:rsidR="00517F43" w:rsidP="00517F43" w:rsidRDefault="00517F43" w14:paraId="5111684D" w14:textId="28881954">
            <w:pPr>
              <w:widowControl/>
              <w:numPr>
                <w:ilvl w:val="0"/>
                <w:numId w:val="9"/>
              </w:numPr>
              <w:ind w:left="323" w:hanging="284"/>
              <w:contextualSpacing/>
              <w:jc w:val="left"/>
              <w:rPr>
                <w:rFonts w:eastAsia="Times New Roman" w:cs="Arial"/>
                <w:color w:val="3F3F3F"/>
                <w:kern w:val="24"/>
                <w:sz w:val="18"/>
                <w:szCs w:val="18"/>
              </w:rPr>
            </w:pPr>
            <w:r w:rsidRPr="00E0047A">
              <w:rPr>
                <w:rFonts w:eastAsia="Times New Roman" w:cs="Arial"/>
                <w:color w:val="3F3F3F"/>
                <w:kern w:val="24"/>
                <w:sz w:val="18"/>
                <w:szCs w:val="18"/>
                <w:lang w:val="lv-LV"/>
              </w:rPr>
              <w:t>Apply tools to service delivery that automatically collect performance and user data</w:t>
            </w:r>
          </w:p>
        </w:tc>
      </w:tr>
      <w:tr w:rsidRPr="00454399" w:rsidR="00517F43" w:rsidTr="00832509" w14:paraId="123D0D78" w14:textId="77777777">
        <w:trPr>
          <w:trHeight w:val="238"/>
        </w:trPr>
        <w:tc>
          <w:tcPr>
            <w:tcW w:w="965" w:type="pct"/>
            <w:vAlign w:val="center"/>
          </w:tcPr>
          <w:p w:rsidR="00517F43" w:rsidP="00DE3D29" w:rsidRDefault="00517F43" w14:paraId="40D57298" w14:textId="50C7A713">
            <w:pPr>
              <w:pStyle w:val="TableRow"/>
              <w:jc w:val="left"/>
              <w:rPr>
                <w:rFonts w:eastAsia="Times New Roman" w:cs="Arial"/>
                <w:b/>
                <w:bCs/>
                <w:color w:val="3F3F3F"/>
                <w:kern w:val="24"/>
                <w:sz w:val="18"/>
                <w:szCs w:val="18"/>
              </w:rPr>
            </w:pPr>
            <w:r w:rsidRPr="00E0047A">
              <w:rPr>
                <w:rFonts w:eastAsia="Times New Roman" w:cs="Arial"/>
                <w:b/>
                <w:bCs/>
                <w:color w:val="3F3F3F"/>
                <w:kern w:val="24"/>
                <w:sz w:val="18"/>
                <w:szCs w:val="18"/>
              </w:rPr>
              <w:t xml:space="preserve">AI-driven insights </w:t>
            </w:r>
          </w:p>
        </w:tc>
        <w:tc>
          <w:tcPr>
            <w:tcW w:w="1976" w:type="pct"/>
            <w:vAlign w:val="center"/>
          </w:tcPr>
          <w:p w:rsidRPr="00E0047A" w:rsidR="00517F43" w:rsidP="00DE3D29" w:rsidRDefault="00517F43" w14:paraId="579A115A" w14:textId="1661525B">
            <w:pPr>
              <w:pStyle w:val="TableCell"/>
              <w:jc w:val="left"/>
              <w:rPr>
                <w:rFonts w:eastAsia="Times New Roman" w:cs="Arial"/>
                <w:color w:val="3F3F3F"/>
                <w:kern w:val="24"/>
                <w:sz w:val="18"/>
                <w:szCs w:val="18"/>
                <w:lang w:val="lv-LV"/>
              </w:rPr>
            </w:pPr>
            <w:r w:rsidRPr="00E0047A">
              <w:rPr>
                <w:rFonts w:eastAsia="Times New Roman" w:cs="Arial"/>
                <w:color w:val="3F3F3F"/>
                <w:kern w:val="24"/>
                <w:sz w:val="18"/>
                <w:szCs w:val="18"/>
              </w:rPr>
              <w:t>AI can be deployed in service design and delivery to analy</w:t>
            </w:r>
            <w:r w:rsidRPr="00E0047A">
              <w:rPr>
                <w:rFonts w:eastAsia="Times New Roman" w:cs="Arial"/>
                <w:color w:val="3F3F3F"/>
                <w:kern w:val="24"/>
                <w:sz w:val="18"/>
                <w:szCs w:val="18"/>
                <w:lang w:val="lv-LV"/>
              </w:rPr>
              <w:t>s</w:t>
            </w:r>
            <w:r w:rsidRPr="00E0047A">
              <w:rPr>
                <w:rFonts w:eastAsia="Times New Roman" w:cs="Arial"/>
                <w:color w:val="3F3F3F"/>
                <w:kern w:val="24"/>
                <w:sz w:val="18"/>
                <w:szCs w:val="18"/>
              </w:rPr>
              <w:t>e user experiences, uncovering key trends, patterns and anomalies that inform and allow for proactive, timely communication with users.</w:t>
            </w:r>
          </w:p>
        </w:tc>
        <w:tc>
          <w:tcPr>
            <w:tcW w:w="2059" w:type="pct"/>
          </w:tcPr>
          <w:p w:rsidRPr="00517F43" w:rsidR="00517F43" w:rsidP="00517F43" w:rsidRDefault="00517F43" w14:paraId="4C988542" w14:textId="2EA1275B">
            <w:pPr>
              <w:widowControl/>
              <w:numPr>
                <w:ilvl w:val="0"/>
                <w:numId w:val="9"/>
              </w:numPr>
              <w:ind w:left="323" w:hanging="284"/>
              <w:contextualSpacing/>
              <w:jc w:val="left"/>
              <w:rPr>
                <w:rFonts w:eastAsia="Times New Roman" w:cs="Arial"/>
                <w:color w:val="3F3F3F"/>
                <w:kern w:val="24"/>
                <w:sz w:val="18"/>
                <w:szCs w:val="18"/>
                <w:lang w:val="lv-LV"/>
              </w:rPr>
            </w:pPr>
            <w:r w:rsidRPr="00E0047A">
              <w:rPr>
                <w:rFonts w:eastAsia="Times New Roman" w:cs="Arial"/>
                <w:color w:val="3F3F3F"/>
                <w:kern w:val="24"/>
                <w:sz w:val="18"/>
                <w:szCs w:val="18"/>
                <w:lang w:val="lv-LV"/>
              </w:rPr>
              <w:t>Integration of AI tools in public service analysis</w:t>
            </w:r>
          </w:p>
        </w:tc>
      </w:tr>
    </w:tbl>
    <w:p w:rsidRPr="00454399" w:rsidR="0043495C" w:rsidRDefault="0043495C" w14:paraId="576AF93A" w14:textId="115ED03A">
      <w:pPr>
        <w:pStyle w:val="Sourcenotes"/>
      </w:pPr>
      <w:r>
        <w:t xml:space="preserve">Source: </w:t>
      </w:r>
      <w:r w:rsidR="00517F43">
        <w:t xml:space="preserve">Author illustration </w:t>
      </w:r>
    </w:p>
    <w:p w:rsidRPr="00E0047A" w:rsidR="002B6090" w:rsidP="002B6090" w:rsidRDefault="002B6090" w14:paraId="5A470C80" w14:textId="77777777">
      <w:pPr>
        <w:pStyle w:val="Para"/>
        <w:numPr>
          <w:ilvl w:val="0"/>
          <w:numId w:val="0"/>
        </w:numPr>
        <w:rPr>
          <w:lang w:val="en-US"/>
        </w:rPr>
      </w:pPr>
    </w:p>
    <w:p w:rsidRPr="00CA1B7D" w:rsidR="00CA1B7D" w:rsidP="002B6090" w:rsidRDefault="00CA1B7D" w14:paraId="232357DC" w14:textId="77777777">
      <w:pPr>
        <w:pStyle w:val="Para"/>
        <w:numPr>
          <w:ilvl w:val="0"/>
          <w:numId w:val="0"/>
        </w:numPr>
      </w:pPr>
    </w:p>
    <w:p w:rsidRPr="00E35CDE" w:rsidR="00CA1B7D" w:rsidP="00D02D6F" w:rsidRDefault="00CA1B7D" w14:paraId="5D1D3A0A" w14:textId="77777777">
      <w:pPr>
        <w:pStyle w:val="Para"/>
        <w:numPr>
          <w:ilvl w:val="0"/>
          <w:numId w:val="0"/>
        </w:numPr>
      </w:pPr>
    </w:p>
    <w:p w:rsidR="00CA1B7D" w:rsidP="00D02D6F" w:rsidRDefault="00CA1B7D" w14:paraId="078364CB" w14:textId="77777777">
      <w:pPr>
        <w:pStyle w:val="Para"/>
        <w:numPr>
          <w:ilvl w:val="0"/>
          <w:numId w:val="0"/>
        </w:numPr>
        <w:rPr>
          <w:lang w:val="en-US"/>
        </w:rPr>
      </w:pPr>
    </w:p>
    <w:p w:rsidR="00CA1B7D" w:rsidP="00D02D6F" w:rsidRDefault="00CA1B7D" w14:paraId="662E62A8" w14:textId="77777777">
      <w:pPr>
        <w:pStyle w:val="Para"/>
        <w:numPr>
          <w:ilvl w:val="0"/>
          <w:numId w:val="0"/>
        </w:numPr>
        <w:rPr>
          <w:lang w:val="en-US"/>
        </w:rPr>
      </w:pPr>
    </w:p>
    <w:p w:rsidR="00736C0B" w:rsidP="00536450" w:rsidRDefault="00536450" w14:paraId="1EE2A352" w14:textId="4B72B1E7">
      <w:pPr>
        <w:pStyle w:val="Heading1"/>
        <w:framePr w:wrap="notBeside"/>
        <w:rPr>
          <w:lang w:val="en-US"/>
        </w:rPr>
      </w:pPr>
      <w:bookmarkStart w:name="_Toc223413732" w:id="71"/>
      <w:r>
        <w:rPr>
          <w:lang w:val="en-US"/>
        </w:rPr>
        <w:t>Navigating public services</w:t>
      </w:r>
      <w:bookmarkEnd w:id="71"/>
      <w:r>
        <w:rPr>
          <w:lang w:val="en-US"/>
        </w:rPr>
        <w:t xml:space="preserve"> </w:t>
      </w:r>
    </w:p>
    <w:p w:rsidR="0046318D" w:rsidP="0046318D" w:rsidRDefault="0046318D" w14:paraId="41736D05" w14:textId="77777777">
      <w:pPr>
        <w:pStyle w:val="Para"/>
        <w:numPr>
          <w:ilvl w:val="0"/>
          <w:numId w:val="0"/>
        </w:numPr>
        <w:rPr>
          <w:lang w:val="en-US"/>
        </w:rPr>
      </w:pPr>
      <w:r w:rsidRPr="00832509">
        <w:rPr>
          <w:b/>
          <w:bCs/>
          <w:lang w:val="en-US"/>
        </w:rPr>
        <w:t>After identifying and accessing the necessary services, users face the crucial task of navigating the services they require to get what they wanted.</w:t>
      </w:r>
      <w:r>
        <w:rPr>
          <w:lang w:val="en-US"/>
        </w:rPr>
        <w:t xml:space="preserve"> Navigating public services entails completing and progressing through the essential steps to receive a service. </w:t>
      </w:r>
      <w:r w:rsidRPr="00441EFB">
        <w:rPr>
          <w:lang w:val="en-US"/>
        </w:rPr>
        <w:t>The TSI Satisfaction Survey</w:t>
      </w:r>
      <w:r>
        <w:rPr>
          <w:lang w:val="en-US"/>
        </w:rPr>
        <w:t xml:space="preserve"> has revealed that user satisfaction in this process is driven by three key aspects: 1) how </w:t>
      </w:r>
      <w:r w:rsidRPr="00D50A53">
        <w:rPr>
          <w:b/>
          <w:lang w:val="en-US"/>
        </w:rPr>
        <w:t>clear public services</w:t>
      </w:r>
      <w:r>
        <w:rPr>
          <w:lang w:val="en-US"/>
        </w:rPr>
        <w:t xml:space="preserve"> are; 2) how </w:t>
      </w:r>
      <w:r w:rsidRPr="00D50A53">
        <w:rPr>
          <w:b/>
          <w:lang w:val="en-US"/>
        </w:rPr>
        <w:t>seamless services</w:t>
      </w:r>
      <w:r>
        <w:rPr>
          <w:lang w:val="en-US"/>
        </w:rPr>
        <w:t xml:space="preserve"> appear to users; and 3) how </w:t>
      </w:r>
      <w:r w:rsidRPr="00D50A53">
        <w:rPr>
          <w:b/>
          <w:lang w:val="en-US"/>
        </w:rPr>
        <w:t>integrated services</w:t>
      </w:r>
      <w:r>
        <w:rPr>
          <w:lang w:val="en-US"/>
        </w:rPr>
        <w:t xml:space="preserve"> are. The following sections focus on these three elements, highlighting the most important conclusions from the Survey data analysis and providing country examples to showcase these elements in different contexts and to facilitate idea exchange for service improvements across the EU-10.</w:t>
      </w:r>
    </w:p>
    <w:p w:rsidR="0046318D" w:rsidP="0046318D" w:rsidRDefault="0046318D" w14:paraId="042A2852" w14:textId="3F731A78">
      <w:pPr>
        <w:pStyle w:val="Para"/>
        <w:numPr>
          <w:ilvl w:val="0"/>
          <w:numId w:val="0"/>
        </w:numPr>
        <w:rPr>
          <w:lang w:val="en-US"/>
        </w:rPr>
      </w:pPr>
      <w:r w:rsidRPr="00832509">
        <w:rPr>
          <w:b/>
          <w:bCs/>
          <w:lang w:val="en-US"/>
        </w:rPr>
        <w:t>When navigating public services, it is important to consider the advantages associated with the Life Event approach.</w:t>
      </w:r>
      <w:r>
        <w:rPr>
          <w:lang w:val="en-US"/>
        </w:rPr>
        <w:t xml:space="preserve"> The delivery of public services through Life Events aims to ensure that users only have contact with public services through their selected choice of channel, without having to consider the back office mechanisms associated with dealing with the user’s request, and minimizing interactions with multiple service providers</w:t>
      </w:r>
      <w:r w:rsidR="00595DB2">
        <w:rPr>
          <w:lang w:val="en-US"/>
        </w:rPr>
        <w:t xml:space="preserve"> (</w:t>
      </w:r>
      <w:r w:rsidR="00595DB2">
        <w:rPr>
          <w:lang w:val="en-US"/>
        </w:rPr>
        <w:fldChar w:fldCharType="begin"/>
      </w:r>
      <w:r w:rsidR="00595DB2">
        <w:rPr>
          <w:lang w:val="en-US"/>
        </w:rPr>
        <w:instrText xml:space="preserve"> REF _Ref215435429 \h </w:instrText>
      </w:r>
      <w:r w:rsidR="00595DB2">
        <w:rPr>
          <w:lang w:val="en-US"/>
        </w:rPr>
      </w:r>
      <w:r w:rsidR="00595DB2">
        <w:rPr>
          <w:lang w:val="en-US"/>
        </w:rPr>
        <w:fldChar w:fldCharType="separate"/>
      </w:r>
      <w:r w:rsidR="00543B3D">
        <w:t>Figure </w:t>
      </w:r>
      <w:r w:rsidR="00543B3D">
        <w:rPr>
          <w:noProof/>
        </w:rPr>
        <w:t>3</w:t>
      </w:r>
      <w:r w:rsidR="00543B3D">
        <w:t>.</w:t>
      </w:r>
      <w:r w:rsidR="00543B3D">
        <w:rPr>
          <w:noProof/>
        </w:rPr>
        <w:t>1</w:t>
      </w:r>
      <w:r w:rsidR="00595DB2">
        <w:rPr>
          <w:lang w:val="en-US"/>
        </w:rPr>
        <w:fldChar w:fldCharType="end"/>
      </w:r>
      <w:r w:rsidR="00595DB2">
        <w:rPr>
          <w:lang w:val="en-US"/>
        </w:rPr>
        <w:t>)</w:t>
      </w:r>
      <w:r>
        <w:rPr>
          <w:lang w:val="en-US"/>
        </w:rPr>
        <w:t xml:space="preserve">. Public services that are clear, integrated and seamless are those that provide users with a streamlined experience without the back-office bureaucracy. </w:t>
      </w:r>
    </w:p>
    <w:p w:rsidR="008D4A32" w:rsidRDefault="008D4A32" w14:paraId="614896FB" w14:textId="6DDC1F24">
      <w:pPr>
        <w:pStyle w:val="Caption"/>
      </w:pPr>
      <w:bookmarkStart w:name="_Ref215435429" w:id="72"/>
      <w:bookmarkStart w:name="_Ref215435418" w:id="73"/>
      <w:bookmarkStart w:name="_Toc223413764" w:id="74"/>
      <w:r>
        <w:t>Figure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1</w:t>
      </w:r>
      <w:r>
        <w:rPr>
          <w:noProof/>
        </w:rPr>
        <w:fldChar w:fldCharType="end"/>
      </w:r>
      <w:bookmarkEnd w:id="72"/>
      <w:r>
        <w:t>. User-facing services</w:t>
      </w:r>
      <w:bookmarkEnd w:id="73"/>
      <w:bookmarkEnd w:id="74"/>
    </w:p>
    <w:p w:rsidRPr="00713354" w:rsidR="00713354" w:rsidP="00595DB2" w:rsidRDefault="00713354" w14:paraId="5CF92D97" w14:textId="3D678222">
      <w:pPr>
        <w:pStyle w:val="CaptionSubtitle"/>
        <w:spacing w:line="240" w:lineRule="auto"/>
        <w:jc w:val="center"/>
      </w:pPr>
      <w:r w:rsidRPr="00713354">
        <w:rPr>
          <w:noProof/>
        </w:rPr>
        <w:drawing>
          <wp:inline distT="0" distB="0" distL="0" distR="0" wp14:anchorId="46F839D4" wp14:editId="7C03B168">
            <wp:extent cx="2997200" cy="2350135"/>
            <wp:effectExtent l="0" t="0" r="0" b="0"/>
            <wp:docPr id="1282898349" name="Picture 1" descr="A diagram of a person and a ser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898349" name="Picture 1" descr="A diagram of a person and a service&#10;&#10;AI-generated content may be incorrect."/>
                    <pic:cNvPicPr/>
                  </pic:nvPicPr>
                  <pic:blipFill rotWithShape="1">
                    <a:blip r:embed="rId51"/>
                    <a:srcRect r="14164"/>
                    <a:stretch>
                      <a:fillRect/>
                    </a:stretch>
                  </pic:blipFill>
                  <pic:spPr bwMode="auto">
                    <a:xfrm>
                      <a:off x="0" y="0"/>
                      <a:ext cx="3019346" cy="2367500"/>
                    </a:xfrm>
                    <a:prstGeom prst="rect">
                      <a:avLst/>
                    </a:prstGeom>
                    <a:ln>
                      <a:noFill/>
                    </a:ln>
                    <a:extLst>
                      <a:ext uri="{53640926-AAD7-44D8-BBD7-CCE9431645EC}">
                        <a14:shadowObscured xmlns:a14="http://schemas.microsoft.com/office/drawing/2010/main"/>
                      </a:ext>
                    </a:extLst>
                  </pic:spPr>
                </pic:pic>
              </a:graphicData>
            </a:graphic>
          </wp:inline>
        </w:drawing>
      </w:r>
    </w:p>
    <w:p w:rsidRPr="00454399" w:rsidR="008D4A32" w:rsidRDefault="008D4A32" w14:paraId="1D66D52A" w14:textId="7B733E91">
      <w:pPr>
        <w:pStyle w:val="Sourcenotes"/>
      </w:pPr>
      <w:r w:rsidRPr="004802B4">
        <w:t xml:space="preserve">Source: </w:t>
      </w:r>
      <w:r w:rsidR="006B28CB">
        <w:t>Authors’ own visualisation.</w:t>
      </w:r>
    </w:p>
    <w:p w:rsidR="00536450" w:rsidP="00264448" w:rsidRDefault="00E76B12" w14:paraId="36661A7D" w14:textId="09CC971F">
      <w:pPr>
        <w:pStyle w:val="Heading2"/>
        <w:rPr>
          <w:lang w:val="en-US"/>
        </w:rPr>
      </w:pPr>
      <w:bookmarkStart w:name="_Toc223413733" w:id="75"/>
      <w:r>
        <w:rPr>
          <w:lang w:val="en-US"/>
        </w:rPr>
        <w:t xml:space="preserve">Providing </w:t>
      </w:r>
      <w:r w:rsidR="00C11B3B">
        <w:rPr>
          <w:lang w:val="en-US"/>
        </w:rPr>
        <w:t>c</w:t>
      </w:r>
      <w:r>
        <w:rPr>
          <w:lang w:val="en-US"/>
        </w:rPr>
        <w:t xml:space="preserve">lear </w:t>
      </w:r>
      <w:r w:rsidR="00C11B3B">
        <w:rPr>
          <w:lang w:val="en-US"/>
        </w:rPr>
        <w:t>s</w:t>
      </w:r>
      <w:r>
        <w:rPr>
          <w:lang w:val="en-US"/>
        </w:rPr>
        <w:t xml:space="preserve">ervices to </w:t>
      </w:r>
      <w:r w:rsidR="00C11B3B">
        <w:rPr>
          <w:lang w:val="en-US"/>
        </w:rPr>
        <w:t>u</w:t>
      </w:r>
      <w:r>
        <w:rPr>
          <w:lang w:val="en-US"/>
        </w:rPr>
        <w:t>sers</w:t>
      </w:r>
      <w:bookmarkEnd w:id="75"/>
      <w:r>
        <w:rPr>
          <w:lang w:val="en-US"/>
        </w:rPr>
        <w:t xml:space="preserve"> </w:t>
      </w:r>
    </w:p>
    <w:p w:rsidR="0084731A" w:rsidP="0084731A" w:rsidRDefault="0084731A" w14:paraId="2F308448" w14:textId="067C55A5">
      <w:pPr>
        <w:pStyle w:val="Para0"/>
        <w:rPr>
          <w:lang w:val="en-US"/>
        </w:rPr>
      </w:pPr>
      <w:r w:rsidRPr="00832509">
        <w:rPr>
          <w:b/>
          <w:bCs/>
          <w:lang w:val="en-US"/>
        </w:rPr>
        <w:t>When navigating public services, there is a need to ensure the information (and accompanying language) is clear for users, to avoid time spent on understanding what actions they need to take to receive public services.</w:t>
      </w:r>
      <w:r>
        <w:rPr>
          <w:lang w:val="en-US"/>
        </w:rPr>
        <w:t xml:space="preserve"> Clear and plain language in service communication can be fostered by </w:t>
      </w:r>
      <w:r>
        <w:rPr>
          <w:lang w:val="en-US"/>
        </w:rPr>
        <w:t xml:space="preserve">simplifying administrative and legal terms, adjusting and targeting language to different social groups and using visual aids to support the written text </w:t>
      </w:r>
      <w:sdt>
        <w:sdtPr>
          <w:rPr>
            <w:lang w:val="en-US"/>
          </w:rPr>
          <w:id w:val="1859081234"/>
          <w:citation/>
        </w:sdtPr>
        <w:sdtEndPr/>
        <w:sdtContent>
          <w:r>
            <w:rPr>
              <w:lang w:val="en-US"/>
            </w:rPr>
            <w:fldChar w:fldCharType="begin"/>
          </w:r>
          <w:r>
            <w:rPr>
              <w:lang w:val="en-US"/>
            </w:rPr>
            <w:instrText xml:space="preserve"> CITATION Mend_e4sgpgfrFjuOO0phTEtveQ \l 2057 </w:instrText>
          </w:r>
          <w:r>
            <w:rPr>
              <w:lang w:val="en-US"/>
            </w:rPr>
            <w:fldChar w:fldCharType="separate"/>
          </w:r>
          <w:r w:rsidRPr="00F86F21" w:rsidR="00F86F21">
            <w:rPr>
              <w:noProof/>
              <w:lang w:val="en-US"/>
            </w:rPr>
            <w:t>(OECD, 2024</w:t>
          </w:r>
          <w:r w:rsidRPr="00F86F21" w:rsidR="00F86F21">
            <w:rPr>
              <w:noProof/>
              <w:vertAlign w:val="subscript"/>
              <w:lang w:val="en-US"/>
            </w:rPr>
            <w:t>[9]</w:t>
          </w:r>
          <w:r w:rsidRPr="00F86F21" w:rsidR="00F86F21">
            <w:rPr>
              <w:noProof/>
              <w:lang w:val="en-US"/>
            </w:rPr>
            <w:t>)</w:t>
          </w:r>
          <w:r>
            <w:rPr>
              <w:lang w:val="en-US"/>
            </w:rPr>
            <w:fldChar w:fldCharType="end"/>
          </w:r>
        </w:sdtContent>
      </w:sdt>
      <w:r>
        <w:rPr>
          <w:lang w:val="en-US"/>
        </w:rPr>
        <w:t>.</w:t>
      </w:r>
    </w:p>
    <w:tbl>
      <w:tblPr>
        <w:tblStyle w:val="OECD"/>
        <w:tblW w:w="0" w:type="auto"/>
        <w:tblLook w:val="04A0" w:firstRow="1" w:lastRow="0" w:firstColumn="1" w:lastColumn="0" w:noHBand="0" w:noVBand="1"/>
      </w:tblPr>
      <w:tblGrid>
        <w:gridCol w:w="9298"/>
      </w:tblGrid>
      <w:tr w:rsidR="00B1015A" w14:paraId="7A88D133" w14:textId="77777777">
        <w:tc>
          <w:tcPr>
            <w:tcW w:w="9298" w:type="dxa"/>
            <w:shd w:val="clear" w:color="auto" w:fill="244061" w:themeFill="accent1" w:themeFillShade="80"/>
          </w:tcPr>
          <w:p w:rsidRPr="00703A21" w:rsidR="00B1015A" w:rsidRDefault="00B1015A" w14:paraId="12213F53" w14:textId="77777777">
            <w:pPr>
              <w:pStyle w:val="Para0"/>
              <w:jc w:val="center"/>
              <w:rPr>
                <w:b/>
                <w:bCs/>
                <w:color w:val="FFFFFF" w:themeColor="background1"/>
                <w:sz w:val="24"/>
                <w:szCs w:val="24"/>
              </w:rPr>
            </w:pPr>
            <w:r w:rsidRPr="00703A21">
              <w:rPr>
                <w:b/>
                <w:bCs/>
                <w:noProof/>
                <w:color w:val="FFFFFF" w:themeColor="background1"/>
                <w:sz w:val="24"/>
                <w:szCs w:val="24"/>
              </w:rPr>
              <w:drawing>
                <wp:anchor distT="0" distB="0" distL="114300" distR="114300" simplePos="0" relativeHeight="251658257" behindDoc="1" locked="0" layoutInCell="1" allowOverlap="1" wp14:anchorId="6DCE81FE" wp14:editId="157E8E49">
                  <wp:simplePos x="0" y="0"/>
                  <wp:positionH relativeFrom="column">
                    <wp:posOffset>4919980</wp:posOffset>
                  </wp:positionH>
                  <wp:positionV relativeFrom="paragraph">
                    <wp:posOffset>24130</wp:posOffset>
                  </wp:positionV>
                  <wp:extent cx="914400" cy="914400"/>
                  <wp:effectExtent l="0" t="0" r="0" b="0"/>
                  <wp:wrapTight wrapText="bothSides">
                    <wp:wrapPolygon edited="0">
                      <wp:start x="8100" y="900"/>
                      <wp:lineTo x="5850" y="2250"/>
                      <wp:lineTo x="900" y="7200"/>
                      <wp:lineTo x="900" y="10350"/>
                      <wp:lineTo x="2700" y="16200"/>
                      <wp:lineTo x="7200" y="19350"/>
                      <wp:lineTo x="8100" y="20250"/>
                      <wp:lineTo x="13050" y="20250"/>
                      <wp:lineTo x="13950" y="19350"/>
                      <wp:lineTo x="18450" y="16200"/>
                      <wp:lineTo x="20250" y="10350"/>
                      <wp:lineTo x="20700" y="7650"/>
                      <wp:lineTo x="15300" y="2250"/>
                      <wp:lineTo x="13050" y="900"/>
                      <wp:lineTo x="8100" y="900"/>
                    </wp:wrapPolygon>
                  </wp:wrapTight>
                  <wp:docPr id="1679870869" name="Graphic 9" descr="Information with solid fill">
                    <a:extLst xmlns:a="http://schemas.openxmlformats.org/drawingml/2006/main">
                      <a:ext uri="{FF2B5EF4-FFF2-40B4-BE49-F238E27FC236}">
                        <a16:creationId xmlns:a16="http://schemas.microsoft.com/office/drawing/2014/main" id="{B7C8702F-2BF8-C298-122E-A6D0E747D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870869" name="Graphic 9" descr="Information with solid fill">
                            <a:extLst>
                              <a:ext uri="{FF2B5EF4-FFF2-40B4-BE49-F238E27FC236}">
                                <a16:creationId xmlns:a16="http://schemas.microsoft.com/office/drawing/2014/main" id="{B7C8702F-2BF8-C298-122E-A6D0E747D968}"/>
                              </a:ext>
                            </a:extLst>
                          </pic:cNvPr>
                          <pic:cNvPicPr>
                            <a:picLocks noChangeAspect="1"/>
                          </pic:cNvPicPr>
                        </pic:nvPicPr>
                        <pic:blipFill>
                          <a:blip r:embed="rId52">
                            <a:extLst>
                              <a:ext uri="{96DAC541-7B7A-43D3-8B79-37D633B846F1}">
                                <asvg:svgBlip xmlns:asvg="http://schemas.microsoft.com/office/drawing/2016/SVG/main" r:embed="rId53"/>
                              </a:ext>
                            </a:extLst>
                          </a:blip>
                          <a:stretch>
                            <a:fillRect/>
                          </a:stretch>
                        </pic:blipFill>
                        <pic:spPr>
                          <a:xfrm>
                            <a:off x="0" y="0"/>
                            <a:ext cx="914400" cy="914400"/>
                          </a:xfrm>
                          <a:prstGeom prst="rect">
                            <a:avLst/>
                          </a:prstGeom>
                        </pic:spPr>
                      </pic:pic>
                    </a:graphicData>
                  </a:graphic>
                </wp:anchor>
              </w:drawing>
            </w:r>
            <w:r w:rsidRPr="00703A21">
              <w:rPr>
                <w:b/>
                <w:bCs/>
                <w:color w:val="FFFFFF" w:themeColor="background1"/>
                <w:sz w:val="24"/>
                <w:szCs w:val="24"/>
              </w:rPr>
              <w:t xml:space="preserve">Spotlight on results from the TSI Satisfaction Survey </w:t>
            </w:r>
          </w:p>
          <w:p w:rsidRPr="00703A21" w:rsidR="00B1015A" w:rsidRDefault="00B1015A" w14:paraId="2087074E" w14:textId="33D8C79D">
            <w:pPr>
              <w:pStyle w:val="Para0"/>
              <w:jc w:val="center"/>
              <w:rPr>
                <w:b/>
                <w:bCs/>
                <w:color w:val="FFFFFF" w:themeColor="background1"/>
                <w:sz w:val="24"/>
                <w:szCs w:val="24"/>
              </w:rPr>
            </w:pPr>
            <w:r>
              <w:rPr>
                <w:b/>
                <w:bCs/>
                <w:color w:val="FFFFFF" w:themeColor="background1"/>
                <w:sz w:val="24"/>
                <w:szCs w:val="24"/>
              </w:rPr>
              <w:t xml:space="preserve">Clear Services </w:t>
            </w:r>
          </w:p>
          <w:p w:rsidR="00B1015A" w:rsidP="00B1015A" w:rsidRDefault="00B1015A" w14:paraId="0E2138A2" w14:textId="77777777">
            <w:pPr>
              <w:pStyle w:val="Para0"/>
              <w:numPr>
                <w:ilvl w:val="0"/>
                <w:numId w:val="41"/>
              </w:numPr>
              <w:rPr>
                <w:color w:val="FFFFFF" w:themeColor="background1"/>
              </w:rPr>
            </w:pPr>
            <w:r>
              <w:rPr>
                <w:color w:val="FFFFFF" w:themeColor="background1"/>
              </w:rPr>
              <w:t xml:space="preserve">73% of users across the EU-10 are satisfied with the clarity of language and information provided through the process. Satisfaction levels remain consistent across genders, education levels and living areas. </w:t>
            </w:r>
          </w:p>
          <w:p w:rsidR="00D857D9" w:rsidP="00D857D9" w:rsidRDefault="00F12189" w14:paraId="06FA2BF2" w14:textId="7E13D40E">
            <w:pPr>
              <w:pStyle w:val="Para0"/>
              <w:rPr>
                <w:color w:val="FFFFFF" w:themeColor="background1"/>
              </w:rPr>
            </w:pPr>
            <w:r>
              <w:rPr>
                <w:noProof/>
                <w:color w:val="FFFFFF" w:themeColor="background1"/>
              </w:rPr>
              <w:drawing>
                <wp:inline distT="0" distB="0" distL="0" distR="0" wp14:anchorId="1B3B1E5A" wp14:editId="03B7574A">
                  <wp:extent cx="5901690" cy="4387850"/>
                  <wp:effectExtent l="0" t="0" r="0" b="0"/>
                  <wp:docPr id="15250498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b="7854"/>
                          <a:stretch>
                            <a:fillRect/>
                          </a:stretch>
                        </pic:blipFill>
                        <pic:spPr bwMode="auto">
                          <a:xfrm>
                            <a:off x="0" y="0"/>
                            <a:ext cx="5901690" cy="4387850"/>
                          </a:xfrm>
                          <a:prstGeom prst="rect">
                            <a:avLst/>
                          </a:prstGeom>
                          <a:noFill/>
                          <a:ln>
                            <a:noFill/>
                          </a:ln>
                          <a:extLst>
                            <a:ext uri="{53640926-AAD7-44D8-BBD7-CCE9431645EC}">
                              <a14:shadowObscured xmlns:a14="http://schemas.microsoft.com/office/drawing/2010/main"/>
                            </a:ext>
                          </a:extLst>
                        </pic:spPr>
                      </pic:pic>
                    </a:graphicData>
                  </a:graphic>
                </wp:inline>
              </w:drawing>
            </w:r>
          </w:p>
          <w:p w:rsidRPr="008474C9" w:rsidR="00D857D9" w:rsidP="00D857D9" w:rsidRDefault="00D72A06" w14:paraId="7F1C8A21" w14:textId="68D2B401">
            <w:pPr>
              <w:pStyle w:val="Para0"/>
              <w:rPr>
                <w:color w:val="FFFFFF" w:themeColor="background1"/>
              </w:rPr>
            </w:pPr>
            <w:r w:rsidRPr="00832509">
              <w:rPr>
                <w:color w:val="FFFFFF" w:themeColor="background1"/>
                <w:sz w:val="16"/>
                <w:szCs w:val="16"/>
              </w:rPr>
              <w:t>Note: The dark blue arch represents the average satisfaction level with this driver for user</w:t>
            </w:r>
            <w:r w:rsidRPr="00832509" w:rsidR="008474C9">
              <w:rPr>
                <w:color w:val="FFFFFF" w:themeColor="background1"/>
                <w:sz w:val="16"/>
                <w:szCs w:val="16"/>
              </w:rPr>
              <w:t xml:space="preserve">s </w:t>
            </w:r>
            <w:r w:rsidRPr="00832509">
              <w:rPr>
                <w:color w:val="FFFFFF" w:themeColor="background1"/>
                <w:sz w:val="16"/>
                <w:szCs w:val="16"/>
              </w:rPr>
              <w:t xml:space="preserve">of all Life Events across the EU-10. The green pointer represents the satisfaction level of the user for this driver when experiencing the specific Life Event. The pointer position shows whether satisfaction for the specific Life Event is higher or lower than the overall average. </w:t>
            </w:r>
          </w:p>
          <w:p w:rsidRPr="00832509" w:rsidR="00B1015A" w:rsidP="00B1015A" w:rsidRDefault="00B1015A" w14:paraId="2B8666DC" w14:textId="5CBD5464">
            <w:pPr>
              <w:pStyle w:val="Para0"/>
              <w:numPr>
                <w:ilvl w:val="0"/>
                <w:numId w:val="41"/>
              </w:numPr>
              <w:rPr>
                <w:b/>
                <w:bCs/>
                <w:color w:val="FFFFFF" w:themeColor="background1"/>
              </w:rPr>
            </w:pPr>
            <w:r w:rsidRPr="00832509">
              <w:rPr>
                <w:b/>
                <w:bCs/>
                <w:color w:val="FFFFFF" w:themeColor="background1"/>
              </w:rPr>
              <w:t>The share of satisfied users increases twofold when they find it clear what to do to start an application/request.</w:t>
            </w:r>
          </w:p>
          <w:p w:rsidRPr="00EE7985" w:rsidR="00B1015A" w:rsidP="00B1015A" w:rsidRDefault="00B1015A" w14:paraId="165FF6B9" w14:textId="2AE4C34B">
            <w:pPr>
              <w:pStyle w:val="Para0"/>
              <w:numPr>
                <w:ilvl w:val="0"/>
                <w:numId w:val="41"/>
              </w:numPr>
              <w:rPr>
                <w:b/>
                <w:bCs/>
                <w:color w:val="FFFFFF" w:themeColor="background1"/>
              </w:rPr>
            </w:pPr>
            <w:r w:rsidRPr="00832509">
              <w:rPr>
                <w:b/>
                <w:bCs/>
                <w:color w:val="FFFFFF" w:themeColor="background1"/>
              </w:rPr>
              <w:t xml:space="preserve">The difference in satisfaction can be observed across different age groups. </w:t>
            </w:r>
            <w:r>
              <w:rPr>
                <w:color w:val="FFFFFF" w:themeColor="background1"/>
              </w:rPr>
              <w:t xml:space="preserve">Across the EU-10, users aged 50 and above are, on average, seven percentage points more satisfied with the clarity of language than those aged 18 to 29 (with a satisfaction level of 76% and 69% respectively). The difference in satisfaction across these age groups is particularly visible in Slovenia, Lithuania and Ireland. Satisfaction among the 50+ group is five percentage points higher than the 30 – 39 age bracket (71% satisfied). In addition to the three countries mentioned above, the difference between these two age groups is notable in Latvia and Spain.  </w:t>
            </w:r>
          </w:p>
        </w:tc>
      </w:tr>
    </w:tbl>
    <w:p w:rsidRPr="006A0EFB" w:rsidR="006C4573" w:rsidP="006A0EFB" w:rsidRDefault="006C4573" w14:paraId="2F8350CC" w14:textId="693052EF">
      <w:pPr>
        <w:pStyle w:val="Heading3"/>
        <w:rPr>
          <w:lang w:val="en-US"/>
        </w:rPr>
      </w:pPr>
      <w:r>
        <w:rPr>
          <w:lang w:val="en-US"/>
        </w:rPr>
        <w:t xml:space="preserve">Country </w:t>
      </w:r>
      <w:r w:rsidR="007A6E81">
        <w:rPr>
          <w:lang w:val="en-US"/>
        </w:rPr>
        <w:t>p</w:t>
      </w:r>
      <w:r>
        <w:rPr>
          <w:lang w:val="en-US"/>
        </w:rPr>
        <w:t>ractices and</w:t>
      </w:r>
      <w:r w:rsidR="007A6E81">
        <w:rPr>
          <w:lang w:val="en-US"/>
        </w:rPr>
        <w:t xml:space="preserve"> l</w:t>
      </w:r>
      <w:r>
        <w:rPr>
          <w:lang w:val="en-US"/>
        </w:rPr>
        <w:t xml:space="preserve">essons </w:t>
      </w:r>
      <w:r w:rsidR="007A6E81">
        <w:rPr>
          <w:lang w:val="en-US"/>
        </w:rPr>
        <w:t>l</w:t>
      </w:r>
      <w:r>
        <w:rPr>
          <w:lang w:val="en-US"/>
        </w:rPr>
        <w:t xml:space="preserve">earned </w:t>
      </w:r>
    </w:p>
    <w:p w:rsidRPr="00832509" w:rsidR="00D165CE" w:rsidP="00D165CE" w:rsidRDefault="00D165CE" w14:paraId="74CF24C5" w14:textId="77777777">
      <w:pPr>
        <w:pStyle w:val="Para0"/>
        <w:rPr>
          <w:b/>
          <w:bCs/>
          <w:lang w:val="en-US"/>
        </w:rPr>
      </w:pPr>
      <w:r w:rsidRPr="00832509">
        <w:rPr>
          <w:b/>
          <w:bCs/>
          <w:lang w:val="en-US"/>
        </w:rPr>
        <w:t>A public service is clear when:</w:t>
      </w:r>
    </w:p>
    <w:p w:rsidR="00D165CE" w:rsidP="00D165CE" w:rsidRDefault="00D165CE" w14:paraId="49C27F9E" w14:textId="77777777">
      <w:pPr>
        <w:pStyle w:val="BulletedList"/>
        <w:rPr>
          <w:lang w:val="en-US"/>
        </w:rPr>
      </w:pPr>
      <w:r>
        <w:rPr>
          <w:lang w:val="en-US"/>
        </w:rPr>
        <w:t xml:space="preserve">The </w:t>
      </w:r>
      <w:r w:rsidRPr="002A304A">
        <w:rPr>
          <w:b/>
          <w:bCs/>
          <w:lang w:val="en-US"/>
        </w:rPr>
        <w:t>language used is plain and concrete</w:t>
      </w:r>
      <w:r>
        <w:rPr>
          <w:lang w:val="en-US"/>
        </w:rPr>
        <w:t xml:space="preserve">, processes do not require prerequisite knowledge of legal terms, jargon, and acronyms. </w:t>
      </w:r>
    </w:p>
    <w:p w:rsidR="00D165CE" w:rsidP="00D165CE" w:rsidRDefault="00D165CE" w14:paraId="45A6B986" w14:textId="77777777">
      <w:pPr>
        <w:pStyle w:val="BulletedList"/>
        <w:rPr>
          <w:lang w:val="en-US"/>
        </w:rPr>
      </w:pPr>
      <w:r>
        <w:rPr>
          <w:lang w:val="en-US"/>
        </w:rPr>
        <w:t xml:space="preserve">The </w:t>
      </w:r>
      <w:r w:rsidRPr="002A304A">
        <w:rPr>
          <w:b/>
          <w:bCs/>
          <w:lang w:val="en-US"/>
        </w:rPr>
        <w:t>process is transparent</w:t>
      </w:r>
      <w:r>
        <w:rPr>
          <w:lang w:val="en-US"/>
        </w:rPr>
        <w:t xml:space="preserve">, and it is always clear to the user where they are in the service journey, what comes next, and what the options are. </w:t>
      </w:r>
    </w:p>
    <w:p w:rsidR="00D165CE" w:rsidP="00D165CE" w:rsidRDefault="00D165CE" w14:paraId="28281D74" w14:textId="77777777">
      <w:pPr>
        <w:pStyle w:val="BulletedList"/>
        <w:rPr>
          <w:lang w:val="en-US"/>
        </w:rPr>
      </w:pPr>
      <w:r w:rsidRPr="00C56F3C">
        <w:rPr>
          <w:b/>
          <w:bCs/>
          <w:lang w:val="en-US"/>
        </w:rPr>
        <w:t>Eligibility and user responsibilities</w:t>
      </w:r>
      <w:r>
        <w:rPr>
          <w:lang w:val="en-US"/>
        </w:rPr>
        <w:t xml:space="preserve"> are understandable, so potential service users know who can get what, under what conditions, and what they must do (or not do) to access</w:t>
      </w:r>
    </w:p>
    <w:p w:rsidRPr="00B1482E" w:rsidR="00E9301B" w:rsidP="00B1482E" w:rsidRDefault="00D165CE" w14:paraId="58217AB9" w14:textId="5E146AD1">
      <w:pPr>
        <w:pStyle w:val="BulletedList"/>
        <w:rPr>
          <w:lang w:val="en-US"/>
        </w:rPr>
      </w:pPr>
      <w:r w:rsidRPr="00C56F3C">
        <w:rPr>
          <w:b/>
          <w:bCs/>
          <w:lang w:val="en-US"/>
        </w:rPr>
        <w:t>Rights and redress</w:t>
      </w:r>
      <w:r>
        <w:rPr>
          <w:lang w:val="en-US"/>
        </w:rPr>
        <w:t xml:space="preserve"> are also transparent, and users know what to do if something goes wrong</w:t>
      </w:r>
    </w:p>
    <w:p w:rsidR="00843E96" w:rsidP="00843E96" w:rsidRDefault="00843E96" w14:paraId="105935A9" w14:textId="4A2FF4CD">
      <w:pPr>
        <w:pStyle w:val="Para0"/>
        <w:rPr>
          <w:lang w:val="en-US"/>
        </w:rPr>
      </w:pPr>
      <w:r>
        <w:rPr>
          <w:lang w:val="en-US"/>
        </w:rPr>
        <w:t>Several countries have made efforts to simplify the administration language, for instance Estonia</w:t>
      </w:r>
      <w:r w:rsidR="001F67DC">
        <w:rPr>
          <w:lang w:val="en-US"/>
        </w:rPr>
        <w:t xml:space="preserve"> (</w:t>
      </w:r>
      <w:r w:rsidR="00F20E28">
        <w:rPr>
          <w:lang w:val="en-US"/>
        </w:rPr>
        <w:fldChar w:fldCharType="begin"/>
      </w:r>
      <w:r w:rsidR="00F20E28">
        <w:rPr>
          <w:lang w:val="en-US"/>
        </w:rPr>
        <w:instrText xml:space="preserve"> REF _Ref215435671 \h </w:instrText>
      </w:r>
      <w:r w:rsidR="00F20E28">
        <w:rPr>
          <w:lang w:val="en-US"/>
        </w:rPr>
      </w:r>
      <w:r w:rsidR="00F20E28">
        <w:rPr>
          <w:lang w:val="en-US"/>
        </w:rPr>
        <w:fldChar w:fldCharType="separate"/>
      </w:r>
      <w:r w:rsidRPr="00B44A50" w:rsidR="00543B3D">
        <w:t>Box</w:t>
      </w:r>
      <w:r w:rsidR="00543B3D">
        <w:t> </w:t>
      </w:r>
      <w:r w:rsidR="00543B3D">
        <w:rPr>
          <w:noProof/>
        </w:rPr>
        <w:t>3</w:t>
      </w:r>
      <w:r w:rsidR="00543B3D">
        <w:t>.</w:t>
      </w:r>
      <w:r w:rsidR="00543B3D">
        <w:rPr>
          <w:noProof/>
        </w:rPr>
        <w:t>1</w:t>
      </w:r>
      <w:r w:rsidR="00F20E28">
        <w:rPr>
          <w:lang w:val="en-US"/>
        </w:rPr>
        <w:fldChar w:fldCharType="end"/>
      </w:r>
      <w:r w:rsidR="00F20E28">
        <w:rPr>
          <w:lang w:val="en-US"/>
        </w:rPr>
        <w:t xml:space="preserve">) and </w:t>
      </w:r>
      <w:r w:rsidR="00927748">
        <w:rPr>
          <w:lang w:val="en-US"/>
        </w:rPr>
        <w:t xml:space="preserve">to </w:t>
      </w:r>
      <w:r>
        <w:rPr>
          <w:lang w:val="en-US"/>
        </w:rPr>
        <w:t>ensure the process and its steps are clear and easy to understand for users, such as Ireland</w:t>
      </w:r>
      <w:r w:rsidR="00F20E28">
        <w:rPr>
          <w:lang w:val="en-US"/>
        </w:rPr>
        <w:t xml:space="preserve"> (</w:t>
      </w:r>
      <w:r w:rsidR="00F20E28">
        <w:rPr>
          <w:lang w:val="en-US"/>
        </w:rPr>
        <w:fldChar w:fldCharType="begin"/>
      </w:r>
      <w:r w:rsidR="00F20E28">
        <w:rPr>
          <w:lang w:val="en-US"/>
        </w:rPr>
        <w:instrText xml:space="preserve"> REF _Ref215435695 \h </w:instrText>
      </w:r>
      <w:r w:rsidR="00F20E28">
        <w:rPr>
          <w:lang w:val="en-US"/>
        </w:rPr>
      </w:r>
      <w:r w:rsidR="00F20E28">
        <w:rPr>
          <w:lang w:val="en-US"/>
        </w:rPr>
        <w:fldChar w:fldCharType="separate"/>
      </w:r>
      <w:r w:rsidRPr="00B44A50" w:rsidR="00543B3D">
        <w:t>Box</w:t>
      </w:r>
      <w:r w:rsidR="00543B3D">
        <w:t> </w:t>
      </w:r>
      <w:r w:rsidR="00543B3D">
        <w:rPr>
          <w:noProof/>
        </w:rPr>
        <w:t>3</w:t>
      </w:r>
      <w:r w:rsidR="00543B3D">
        <w:t>.</w:t>
      </w:r>
      <w:r w:rsidR="00543B3D">
        <w:rPr>
          <w:noProof/>
        </w:rPr>
        <w:t>2</w:t>
      </w:r>
      <w:r w:rsidR="00F20E28">
        <w:rPr>
          <w:lang w:val="en-US"/>
        </w:rPr>
        <w:fldChar w:fldCharType="end"/>
      </w:r>
      <w:r w:rsidR="00F20E28">
        <w:rPr>
          <w:lang w:val="en-US"/>
        </w:rPr>
        <w:t>).</w:t>
      </w:r>
      <w:r>
        <w:rPr>
          <w:lang w:val="en-US"/>
        </w:rPr>
        <w:t xml:space="preserve"> </w:t>
      </w:r>
    </w:p>
    <w:p w:rsidR="00311D4A" w:rsidP="00843E96" w:rsidRDefault="00311D4A" w14:paraId="4B8A9795" w14:textId="77777777">
      <w:pPr>
        <w:pStyle w:val="Para0"/>
        <w:rPr>
          <w:lang w:val="en-US"/>
        </w:rPr>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311D4A" w14:paraId="3C94237F"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311D4A" w:rsidRDefault="00311D4A" w14:paraId="355A95C5" w14:textId="245CAB3C">
            <w:pPr>
              <w:pStyle w:val="Caption"/>
            </w:pPr>
            <w:bookmarkStart w:name="_Ref215435671" w:id="76"/>
            <w:bookmarkStart w:name="_Toc223413805" w:id="77"/>
            <w:r>
              <w:rPr>
                <w:noProof/>
              </w:rPr>
              <w:drawing>
                <wp:anchor distT="0" distB="0" distL="114300" distR="114300" simplePos="0" relativeHeight="251658280" behindDoc="1" locked="0" layoutInCell="1" allowOverlap="1" wp14:anchorId="4DEC55E3" wp14:editId="65E99D55">
                  <wp:simplePos x="0" y="0"/>
                  <wp:positionH relativeFrom="column">
                    <wp:posOffset>4675359</wp:posOffset>
                  </wp:positionH>
                  <wp:positionV relativeFrom="paragraph">
                    <wp:posOffset>121285</wp:posOffset>
                  </wp:positionV>
                  <wp:extent cx="1009015" cy="641350"/>
                  <wp:effectExtent l="0" t="0" r="635" b="6350"/>
                  <wp:wrapTight wrapText="bothSides">
                    <wp:wrapPolygon edited="0">
                      <wp:start x="0" y="0"/>
                      <wp:lineTo x="0" y="21172"/>
                      <wp:lineTo x="21206" y="21172"/>
                      <wp:lineTo x="21206" y="0"/>
                      <wp:lineTo x="0" y="0"/>
                    </wp:wrapPolygon>
                  </wp:wrapTight>
                  <wp:docPr id="787667428" name="Picture 1" descr="A blue and black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12193" name="Picture 1" descr="A blue and black flag&#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09015" cy="641350"/>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1</w:t>
            </w:r>
            <w:r>
              <w:rPr>
                <w:noProof/>
              </w:rPr>
              <w:fldChar w:fldCharType="end"/>
            </w:r>
            <w:bookmarkEnd w:id="76"/>
            <w:r>
              <w:t xml:space="preserve">. </w:t>
            </w:r>
            <w:r w:rsidR="00A40062">
              <w:t xml:space="preserve">Estonia - </w:t>
            </w:r>
            <w:r>
              <w:t>Providing clear services</w:t>
            </w:r>
            <w:bookmarkEnd w:id="77"/>
            <w:r>
              <w:t xml:space="preserve"> </w:t>
            </w:r>
          </w:p>
          <w:p w:rsidR="00311D4A" w:rsidP="00311D4A" w:rsidRDefault="00311D4A" w14:paraId="4A83F9E0" w14:textId="77777777">
            <w:pPr>
              <w:pStyle w:val="Para0"/>
            </w:pPr>
            <w:r w:rsidRPr="00832509">
              <w:rPr>
                <w:b/>
                <w:bCs/>
              </w:rPr>
              <w:t>Estonia</w:t>
            </w:r>
            <w:r>
              <w:t xml:space="preserve"> treats clarity as an explicit requirement in public service design: services must be understandable to all parties, not just functional. This service design principle is reinforced and supported by the Language Act and Estonian Language Strategy 2021-2035 and the institutionalisation of clear language in the public sector via training, supporting roles (clear language consultants and editors), and model forms and documents. Government portals, letters and forms use plain, direct language, informed by the national strategy.</w:t>
            </w:r>
          </w:p>
          <w:p w:rsidR="00311D4A" w:rsidP="00311D4A" w:rsidRDefault="00311D4A" w14:paraId="4415ECBA" w14:textId="77777777">
            <w:pPr>
              <w:pStyle w:val="Para0"/>
            </w:pPr>
            <w:r>
              <w:t>Examples of clear language in action include the state portal (</w:t>
            </w:r>
            <w:hyperlink w:history="1" r:id="rId55">
              <w:r w:rsidRPr="002F2B53">
                <w:rPr>
                  <w:rStyle w:val="Hyperlink"/>
                </w:rPr>
                <w:t>www.eesti.ee</w:t>
              </w:r>
            </w:hyperlink>
            <w:r>
              <w:t>) life-event pages, which explain what to do, when, and why, rather than focusing on institutional mandates. The portal presents services with simple descriptions, clear calls-to-action, and time-ordered guidance. Other good practice examples include the public consultation platform (</w:t>
            </w:r>
            <w:hyperlink w:history="1" r:id="rId56">
              <w:r w:rsidRPr="002F2B53">
                <w:rPr>
                  <w:rStyle w:val="Hyperlink"/>
                </w:rPr>
                <w:t>www.osale.ee</w:t>
              </w:r>
            </w:hyperlink>
            <w:r>
              <w:t>), and communications on benefits from the Social Insurance Board.</w:t>
            </w:r>
          </w:p>
          <w:p w:rsidR="00311D4A" w:rsidP="00311D4A" w:rsidRDefault="00311D4A" w14:paraId="18277A0F" w14:textId="77777777">
            <w:pPr>
              <w:pStyle w:val="Para0"/>
            </w:pPr>
            <w:r>
              <w:t>The tools that underpin clear services in Estonia include not only the plain language strategy but a wider set of governance and design systems. The “Brand Estonia” design system provides shared UI components and visual rules that all public-facing sites are supposed to follow, ensuring clean layouts and consistent structure across services. Furthermore, user testing is focused on comprehension, not only on usability.</w:t>
            </w:r>
          </w:p>
          <w:p w:rsidRPr="00482445" w:rsidR="00311D4A" w:rsidP="00311D4A" w:rsidRDefault="00311D4A" w14:paraId="3D8246CC" w14:textId="77777777">
            <w:pPr>
              <w:pStyle w:val="Para0"/>
              <w:rPr>
                <w:lang w:val="en-US"/>
              </w:rPr>
            </w:pPr>
            <w:r>
              <w:rPr>
                <w:b/>
                <w:bCs/>
                <w:lang w:val="en-US"/>
              </w:rPr>
              <w:t>Good practices summary:</w:t>
            </w:r>
          </w:p>
          <w:p w:rsidR="00311D4A" w:rsidP="00311D4A" w:rsidRDefault="00311D4A" w14:paraId="49E2E689" w14:textId="76507BCD">
            <w:pPr>
              <w:pStyle w:val="BulletedList"/>
              <w:rPr>
                <w:lang w:val="en-US"/>
              </w:rPr>
            </w:pPr>
            <w:r w:rsidRPr="00181E5D">
              <w:rPr>
                <w:b/>
                <w:bCs/>
                <w:lang w:val="en-US"/>
              </w:rPr>
              <w:t>Institutionalise plain language</w:t>
            </w:r>
            <w:r>
              <w:rPr>
                <w:lang w:val="en-US"/>
              </w:rPr>
              <w:t xml:space="preserve"> by mandating it in service design principles, providing training and in-house editors</w:t>
            </w:r>
            <w:r w:rsidR="003C3848">
              <w:rPr>
                <w:lang w:val="en-US"/>
              </w:rPr>
              <w:t>.</w:t>
            </w:r>
          </w:p>
          <w:p w:rsidR="00311D4A" w:rsidP="00311D4A" w:rsidRDefault="00311D4A" w14:paraId="20B2FB3A" w14:textId="08AA67D4">
            <w:pPr>
              <w:pStyle w:val="BulletedList"/>
              <w:rPr>
                <w:lang w:val="en-US"/>
              </w:rPr>
            </w:pPr>
            <w:r w:rsidRPr="00181E5D">
              <w:rPr>
                <w:b/>
                <w:bCs/>
                <w:lang w:val="en-US"/>
              </w:rPr>
              <w:t>Treat content design as its own workstream</w:t>
            </w:r>
            <w:r>
              <w:rPr>
                <w:lang w:val="en-US"/>
              </w:rPr>
              <w:t xml:space="preserve"> in every service reform and invest in re-writing content</w:t>
            </w:r>
            <w:r w:rsidR="003C3848">
              <w:rPr>
                <w:lang w:val="en-US"/>
              </w:rPr>
              <w:t>.</w:t>
            </w:r>
          </w:p>
          <w:p w:rsidR="00311D4A" w:rsidP="00311D4A" w:rsidRDefault="00311D4A" w14:paraId="0D5C914D" w14:textId="0B1E235C">
            <w:pPr>
              <w:pStyle w:val="BulletedList"/>
              <w:rPr>
                <w:lang w:val="en-US"/>
              </w:rPr>
            </w:pPr>
            <w:r w:rsidRPr="00181E5D">
              <w:rPr>
                <w:b/>
                <w:bCs/>
                <w:lang w:val="en-US"/>
              </w:rPr>
              <w:t>Explain processes</w:t>
            </w:r>
            <w:r>
              <w:rPr>
                <w:lang w:val="en-US"/>
              </w:rPr>
              <w:t xml:space="preserve"> transparently, showing users the steps, expected timelines, eligibility rules, duties and rights</w:t>
            </w:r>
            <w:r w:rsidR="003C3848">
              <w:rPr>
                <w:lang w:val="en-US"/>
              </w:rPr>
              <w:t>.</w:t>
            </w:r>
          </w:p>
          <w:p w:rsidR="00311D4A" w:rsidP="00311D4A" w:rsidRDefault="00311D4A" w14:paraId="333EF769" w14:textId="025F0BBA">
            <w:pPr>
              <w:pStyle w:val="BulletedList"/>
              <w:rPr>
                <w:lang w:val="en-US"/>
              </w:rPr>
            </w:pPr>
            <w:r w:rsidRPr="00181E5D">
              <w:rPr>
                <w:b/>
                <w:bCs/>
                <w:lang w:val="en-US"/>
              </w:rPr>
              <w:t>Centralise design systems</w:t>
            </w:r>
            <w:r>
              <w:rPr>
                <w:lang w:val="en-US"/>
              </w:rPr>
              <w:t xml:space="preserve"> so users experience consistency regardless of the agency and interaction</w:t>
            </w:r>
            <w:r w:rsidR="002912C2">
              <w:rPr>
                <w:lang w:val="en-US"/>
              </w:rPr>
              <w:t>.</w:t>
            </w:r>
          </w:p>
          <w:p w:rsidRPr="00CB3F17" w:rsidR="00311D4A" w:rsidP="00311D4A" w:rsidRDefault="00311D4A" w14:paraId="11A65914" w14:textId="1411A0DD">
            <w:pPr>
              <w:pStyle w:val="BulletedList"/>
              <w:rPr>
                <w:lang w:val="en-US"/>
              </w:rPr>
            </w:pPr>
            <w:r w:rsidRPr="00181E5D">
              <w:rPr>
                <w:b/>
                <w:bCs/>
                <w:lang w:val="en-US"/>
              </w:rPr>
              <w:t>Test for understanding</w:t>
            </w:r>
            <w:r>
              <w:rPr>
                <w:lang w:val="en-US"/>
              </w:rPr>
              <w:t xml:space="preserve"> with diverse user groups and measure clarity during the testing process</w:t>
            </w:r>
            <w:r w:rsidR="002912C2">
              <w:rPr>
                <w:lang w:val="en-US"/>
              </w:rPr>
              <w:t>.</w:t>
            </w:r>
          </w:p>
          <w:p w:rsidRPr="00775FF9" w:rsidR="00311D4A" w:rsidP="00311D4A" w:rsidRDefault="00311D4A" w14:paraId="2EC0FC19" w14:textId="35B41741">
            <w:pPr>
              <w:pStyle w:val="Sourcenotes"/>
            </w:pPr>
            <w:r>
              <w:t>Note: See also the “Building Clear Language Strategy in Estonia” plain language network paper, which describes work to institutionalise clear language in the public sector.</w:t>
            </w:r>
          </w:p>
        </w:tc>
      </w:tr>
    </w:tbl>
    <w:p w:rsidR="00311D4A" w:rsidP="00843E96" w:rsidRDefault="00311D4A" w14:paraId="7D42DD9C" w14:textId="77777777">
      <w:pPr>
        <w:pStyle w:val="Para0"/>
        <w:rPr>
          <w:lang w:val="en-US"/>
        </w:rPr>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1F67DC" w14:paraId="72633753"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1F67DC" w:rsidRDefault="001F67DC" w14:paraId="4F84CDD7" w14:textId="518C5BE4">
            <w:pPr>
              <w:pStyle w:val="Caption"/>
            </w:pPr>
            <w:bookmarkStart w:name="_Ref215435695" w:id="78"/>
            <w:bookmarkStart w:name="_Toc223413806" w:id="79"/>
            <w:r>
              <w:rPr>
                <w:noProof/>
              </w:rPr>
              <w:drawing>
                <wp:anchor distT="0" distB="0" distL="114300" distR="114300" simplePos="0" relativeHeight="251658281" behindDoc="0" locked="0" layoutInCell="1" allowOverlap="1" wp14:anchorId="4A0338DE" wp14:editId="481099A7">
                  <wp:simplePos x="0" y="0"/>
                  <wp:positionH relativeFrom="column">
                    <wp:posOffset>4776666</wp:posOffset>
                  </wp:positionH>
                  <wp:positionV relativeFrom="paragraph">
                    <wp:posOffset>60080</wp:posOffset>
                  </wp:positionV>
                  <wp:extent cx="930303" cy="465152"/>
                  <wp:effectExtent l="0" t="0" r="3175" b="0"/>
                  <wp:wrapNone/>
                  <wp:docPr id="1044273306" name="Picture 1" descr="A flag of ireland with a white green and orange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87553" name="Picture 1" descr="A flag of ireland with a white green and orange stripe&#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30303" cy="4651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2</w:t>
            </w:r>
            <w:r>
              <w:rPr>
                <w:noProof/>
              </w:rPr>
              <w:fldChar w:fldCharType="end"/>
            </w:r>
            <w:bookmarkEnd w:id="78"/>
            <w:r>
              <w:t xml:space="preserve">. </w:t>
            </w:r>
            <w:r w:rsidR="00A40062">
              <w:t>Ireland - H</w:t>
            </w:r>
            <w:r>
              <w:t>uman-centred approach for enhancing service clarity</w:t>
            </w:r>
            <w:bookmarkEnd w:id="79"/>
            <w:r>
              <w:t xml:space="preserve"> </w:t>
            </w:r>
          </w:p>
          <w:p w:rsidR="001F67DC" w:rsidP="001F67DC" w:rsidRDefault="001F67DC" w14:paraId="0DDE4239" w14:textId="77777777">
            <w:pPr>
              <w:pStyle w:val="Para0"/>
              <w:rPr>
                <w:i/>
                <w:iCs/>
              </w:rPr>
            </w:pPr>
            <w:r w:rsidRPr="00832509">
              <w:rPr>
                <w:b/>
                <w:bCs/>
              </w:rPr>
              <w:t>Ireland</w:t>
            </w:r>
            <w:r w:rsidRPr="00CA4206">
              <w:t xml:space="preserve">’s clarity agenda sits within a broader </w:t>
            </w:r>
            <w:r w:rsidRPr="00226892">
              <w:t>move toward human-centred public administration</w:t>
            </w:r>
            <w:r w:rsidRPr="00CA4206">
              <w:t xml:space="preserve">, as set out in Better Public Services and reinforced by Ireland’s design principles—especially </w:t>
            </w:r>
            <w:r w:rsidRPr="00CA4206">
              <w:rPr>
                <w:i/>
                <w:iCs/>
              </w:rPr>
              <w:t>people first, design for trust, design to make things simpler,</w:t>
            </w:r>
            <w:r w:rsidRPr="00CA4206">
              <w:t xml:space="preserve"> and </w:t>
            </w:r>
            <w:r w:rsidRPr="00CA4206">
              <w:rPr>
                <w:i/>
                <w:iCs/>
              </w:rPr>
              <w:t>design services together</w:t>
            </w:r>
            <w:r>
              <w:rPr>
                <w:i/>
                <w:iCs/>
              </w:rPr>
              <w:t>.</w:t>
            </w:r>
          </w:p>
          <w:p w:rsidR="001F67DC" w:rsidP="001F67DC" w:rsidRDefault="001F67DC" w14:paraId="229F2A2C" w14:textId="77777777">
            <w:pPr>
              <w:pStyle w:val="Para0"/>
            </w:pPr>
            <w:r w:rsidRPr="00226892">
              <w:t xml:space="preserve">The </w:t>
            </w:r>
            <w:r w:rsidRPr="00226892">
              <w:rPr>
                <w:i/>
                <w:iCs/>
              </w:rPr>
              <w:t>Digital Public Services Plan 2030</w:t>
            </w:r>
            <w:r w:rsidRPr="00226892">
              <w:t xml:space="preserve"> requires services to be intuitive, transparent, and easy to understand, with clear steps, eligibility rules, and documentation needs. This is operationalised through standardised service patterns, a Life Events Portal providing a single, comprehensible entry point, and a focus on clear, actionable guidance rather than dispersed institutional information. Service design methods (e.g. journey mapping, persona work, prototyping) ensure communication reflects real user comprehension, not internal language.</w:t>
            </w:r>
          </w:p>
          <w:p w:rsidRPr="00AB622E" w:rsidR="001F67DC" w:rsidP="001F67DC" w:rsidRDefault="001F67DC" w14:paraId="4F21ACEE" w14:textId="77777777">
            <w:pPr>
              <w:pStyle w:val="Para0"/>
            </w:pPr>
            <w:r w:rsidRPr="00875944">
              <w:t xml:space="preserve">The </w:t>
            </w:r>
            <w:r w:rsidRPr="00875944">
              <w:rPr>
                <w:i/>
                <w:iCs/>
              </w:rPr>
              <w:t>Action Plan for Designing Better Public Services</w:t>
            </w:r>
            <w:r w:rsidRPr="00875944">
              <w:t xml:space="preserve"> also emphasises plain language and evidence-based clarity, highlighting the need to challenge assumptions, make things simpler, and support users with amplified needs. Clarity is embedded through co-design, open testing with users, and cross-agency alignment on messaging, steps and responsibilities</w:t>
            </w:r>
            <w:r>
              <w:t>.</w:t>
            </w:r>
          </w:p>
          <w:p w:rsidRPr="00864412" w:rsidR="001F67DC" w:rsidP="001F67DC" w:rsidRDefault="001F67DC" w14:paraId="59F40339" w14:textId="77777777">
            <w:pPr>
              <w:pStyle w:val="Para0"/>
              <w:rPr>
                <w:b/>
                <w:bCs/>
                <w:lang w:val="en-US"/>
              </w:rPr>
            </w:pPr>
            <w:r>
              <w:rPr>
                <w:b/>
                <w:bCs/>
                <w:lang w:val="en-US"/>
              </w:rPr>
              <w:t>Good practices summary:</w:t>
            </w:r>
          </w:p>
          <w:p w:rsidRPr="00864412" w:rsidR="001F67DC" w:rsidP="001F67DC" w:rsidRDefault="001F67DC" w14:paraId="012C769B" w14:textId="77777777">
            <w:pPr>
              <w:pStyle w:val="BulletedList"/>
              <w:rPr>
                <w:lang w:val="en-US"/>
              </w:rPr>
            </w:pPr>
            <w:r w:rsidRPr="00181E5D">
              <w:rPr>
                <w:b/>
                <w:bCs/>
                <w:lang w:val="en-US"/>
              </w:rPr>
              <w:t>Create a national plain-language and design standard</w:t>
            </w:r>
            <w:r w:rsidRPr="00864412">
              <w:rPr>
                <w:lang w:val="en-US"/>
              </w:rPr>
              <w:t xml:space="preserve"> for all service content.</w:t>
            </w:r>
          </w:p>
          <w:p w:rsidRPr="00864412" w:rsidR="001F67DC" w:rsidP="001F67DC" w:rsidRDefault="001F67DC" w14:paraId="21CEC412" w14:textId="77777777">
            <w:pPr>
              <w:pStyle w:val="BulletedList"/>
              <w:rPr>
                <w:lang w:val="en-US"/>
              </w:rPr>
            </w:pPr>
            <w:r w:rsidRPr="00181E5D">
              <w:rPr>
                <w:b/>
                <w:bCs/>
                <w:lang w:val="en-US"/>
              </w:rPr>
              <w:t>Replace organisation-centric communication with user-centric narratives</w:t>
            </w:r>
            <w:r w:rsidRPr="00864412">
              <w:rPr>
                <w:lang w:val="en-US"/>
              </w:rPr>
              <w:t>: explain the journey, not the agency.</w:t>
            </w:r>
          </w:p>
          <w:p w:rsidRPr="00864412" w:rsidR="001F67DC" w:rsidP="001F67DC" w:rsidRDefault="001F67DC" w14:paraId="14449D04" w14:textId="77777777">
            <w:pPr>
              <w:pStyle w:val="BulletedList"/>
              <w:rPr>
                <w:lang w:val="en-US"/>
              </w:rPr>
            </w:pPr>
            <w:r w:rsidRPr="00181E5D">
              <w:rPr>
                <w:b/>
                <w:bCs/>
                <w:lang w:val="en-US"/>
              </w:rPr>
              <w:t>Use design research</w:t>
            </w:r>
            <w:r w:rsidRPr="00864412">
              <w:rPr>
                <w:lang w:val="en-US"/>
              </w:rPr>
              <w:t xml:space="preserve"> to uncover points of confusion, then re-write, re-sequence, or remove steps.</w:t>
            </w:r>
          </w:p>
          <w:p w:rsidRPr="00864412" w:rsidR="001F67DC" w:rsidP="001F67DC" w:rsidRDefault="001F67DC" w14:paraId="27486375" w14:textId="77777777">
            <w:pPr>
              <w:pStyle w:val="BulletedList"/>
              <w:rPr>
                <w:lang w:val="en-US"/>
              </w:rPr>
            </w:pPr>
            <w:r w:rsidRPr="00181E5D">
              <w:rPr>
                <w:b/>
                <w:bCs/>
                <w:lang w:val="en-US"/>
              </w:rPr>
              <w:t>Publish transparent service steps and eligibility rules</w:t>
            </w:r>
            <w:r w:rsidRPr="00864412">
              <w:rPr>
                <w:lang w:val="en-US"/>
              </w:rPr>
              <w:t xml:space="preserve"> in a single, unified view for each user journey.</w:t>
            </w:r>
          </w:p>
          <w:p w:rsidRPr="001F67DC" w:rsidR="001F67DC" w:rsidP="001F67DC" w:rsidRDefault="001F67DC" w14:paraId="2FB14473" w14:textId="77777777">
            <w:pPr>
              <w:pStyle w:val="BulletedList"/>
            </w:pPr>
            <w:r w:rsidRPr="00181E5D">
              <w:rPr>
                <w:b/>
                <w:bCs/>
                <w:lang w:val="en-US"/>
              </w:rPr>
              <w:t>Use iterative testing</w:t>
            </w:r>
            <w:r w:rsidRPr="00864412">
              <w:rPr>
                <w:lang w:val="en-US"/>
              </w:rPr>
              <w:t xml:space="preserve"> with diverse groups, especially those with amplified needs.</w:t>
            </w:r>
            <w:r>
              <w:rPr>
                <w:lang w:val="en-US"/>
              </w:rPr>
              <w:t xml:space="preserve"> </w:t>
            </w:r>
          </w:p>
          <w:p w:rsidRPr="00775FF9" w:rsidR="001F67DC" w:rsidP="001F67DC" w:rsidRDefault="001F67DC" w14:paraId="2DA37243" w14:textId="26F5685B">
            <w:pPr>
              <w:pStyle w:val="BulletedList"/>
            </w:pPr>
            <w:r w:rsidRPr="00181E5D">
              <w:rPr>
                <w:b/>
                <w:bCs/>
                <w:lang w:val="en-US"/>
              </w:rPr>
              <w:t>Ensure governance enforces clarity</w:t>
            </w:r>
            <w:r w:rsidRPr="00864412">
              <w:rPr>
                <w:lang w:val="en-US"/>
              </w:rPr>
              <w:t>: senior oversight of content, design standards and user experience.</w:t>
            </w:r>
          </w:p>
        </w:tc>
      </w:tr>
    </w:tbl>
    <w:p w:rsidR="000265FD" w:rsidP="000265FD" w:rsidRDefault="000265FD" w14:paraId="4EE6B961" w14:textId="2EA89FF7">
      <w:pPr>
        <w:pStyle w:val="Heading2"/>
      </w:pPr>
      <w:bookmarkStart w:name="_Toc223413734" w:id="80"/>
      <w:r>
        <w:t xml:space="preserve">Delivering </w:t>
      </w:r>
      <w:r w:rsidR="001D54CC">
        <w:t>s</w:t>
      </w:r>
      <w:r>
        <w:t xml:space="preserve">eamless </w:t>
      </w:r>
      <w:r w:rsidR="001D54CC">
        <w:t>s</w:t>
      </w:r>
      <w:r>
        <w:t xml:space="preserve">ervices to </w:t>
      </w:r>
      <w:r w:rsidR="001D54CC">
        <w:t>u</w:t>
      </w:r>
      <w:r>
        <w:t>sers</w:t>
      </w:r>
      <w:bookmarkEnd w:id="80"/>
      <w:r>
        <w:t xml:space="preserve"> </w:t>
      </w:r>
    </w:p>
    <w:p w:rsidR="00AB7530" w:rsidP="0068095B" w:rsidRDefault="00AB7530" w14:paraId="7C94A60C" w14:textId="32D112ED">
      <w:pPr>
        <w:pStyle w:val="Para0"/>
        <w:rPr>
          <w:lang w:val="en-US"/>
        </w:rPr>
      </w:pPr>
      <w:r w:rsidRPr="00C53374">
        <w:rPr>
          <w:b/>
          <w:lang w:val="en-US"/>
        </w:rPr>
        <w:t>Providing seamless services refers to services working together</w:t>
      </w:r>
      <w:r w:rsidR="0008214E">
        <w:rPr>
          <w:rStyle w:val="FootnoteReference"/>
          <w:b/>
          <w:lang w:val="en-US"/>
        </w:rPr>
        <w:footnoteReference w:id="3"/>
      </w:r>
      <w:r>
        <w:rPr>
          <w:lang w:val="en-US"/>
        </w:rPr>
        <w:t xml:space="preserve">. </w:t>
      </w:r>
      <w:r w:rsidR="002F1BE4">
        <w:rPr>
          <w:lang w:val="en-US"/>
        </w:rPr>
        <w:t>This entails</w:t>
      </w:r>
      <w:r w:rsidR="0018019A">
        <w:rPr>
          <w:lang w:val="en-US"/>
        </w:rPr>
        <w:t xml:space="preserve"> the</w:t>
      </w:r>
      <w:r w:rsidR="002F1BE4">
        <w:rPr>
          <w:lang w:val="en-US"/>
        </w:rPr>
        <w:t xml:space="preserve"> </w:t>
      </w:r>
      <w:r w:rsidR="0018019A">
        <w:rPr>
          <w:lang w:val="en-US"/>
        </w:rPr>
        <w:t>a</w:t>
      </w:r>
      <w:r w:rsidRPr="0018019A" w:rsidR="0018019A">
        <w:rPr>
          <w:lang w:val="en-US"/>
        </w:rPr>
        <w:t xml:space="preserve">lignment of services across different </w:t>
      </w:r>
      <w:r w:rsidR="005A1129">
        <w:rPr>
          <w:lang w:val="en-US"/>
        </w:rPr>
        <w:t xml:space="preserve">public service </w:t>
      </w:r>
      <w:r w:rsidRPr="0018019A" w:rsidR="0018019A">
        <w:rPr>
          <w:lang w:val="en-US"/>
        </w:rPr>
        <w:t>providers</w:t>
      </w:r>
      <w:r w:rsidR="00D3576D">
        <w:rPr>
          <w:lang w:val="en-US"/>
        </w:rPr>
        <w:t xml:space="preserve"> to meet user needs </w:t>
      </w:r>
      <w:r w:rsidR="00D436C7">
        <w:rPr>
          <w:lang w:val="en-US"/>
        </w:rPr>
        <w:t>in a</w:t>
      </w:r>
      <w:r w:rsidR="00D3576D">
        <w:rPr>
          <w:lang w:val="en-US"/>
        </w:rPr>
        <w:t xml:space="preserve"> friction</w:t>
      </w:r>
      <w:r w:rsidR="00D436C7">
        <w:rPr>
          <w:lang w:val="en-US"/>
        </w:rPr>
        <w:t>-free manner</w:t>
      </w:r>
      <w:r w:rsidR="00D3576D">
        <w:rPr>
          <w:lang w:val="en-US"/>
        </w:rPr>
        <w:t xml:space="preserve">. </w:t>
      </w:r>
      <w:r w:rsidRPr="009202D7">
        <w:rPr>
          <w:lang w:val="en-US"/>
        </w:rPr>
        <w:t xml:space="preserve">In the context of Life Events, this enables users to </w:t>
      </w:r>
      <w:r w:rsidRPr="009202D7" w:rsidR="003E2ED4">
        <w:rPr>
          <w:lang w:val="en-US"/>
        </w:rPr>
        <w:t xml:space="preserve">be unconscious of the </w:t>
      </w:r>
      <w:r w:rsidRPr="009202D7" w:rsidR="00CF3420">
        <w:rPr>
          <w:lang w:val="en-US"/>
        </w:rPr>
        <w:t>back-office</w:t>
      </w:r>
      <w:r w:rsidRPr="009202D7" w:rsidR="003E2ED4">
        <w:rPr>
          <w:lang w:val="en-US"/>
        </w:rPr>
        <w:t xml:space="preserve"> administration of public services associated with Life Events, with public administrations working together to deliver the public services for the users. </w:t>
      </w:r>
    </w:p>
    <w:p w:rsidR="00B71546" w:rsidRDefault="00B71546" w14:paraId="19EA727A" w14:textId="77777777">
      <w:r>
        <w:br w:type="page"/>
      </w:r>
    </w:p>
    <w:tbl>
      <w:tblPr>
        <w:tblStyle w:val="OECD"/>
        <w:tblW w:w="0" w:type="auto"/>
        <w:tblLook w:val="04A0" w:firstRow="1" w:lastRow="0" w:firstColumn="1" w:lastColumn="0" w:noHBand="0" w:noVBand="1"/>
      </w:tblPr>
      <w:tblGrid>
        <w:gridCol w:w="9298"/>
      </w:tblGrid>
      <w:tr w:rsidR="00B1015A" w14:paraId="4FE3BE7B" w14:textId="77777777">
        <w:tc>
          <w:tcPr>
            <w:tcW w:w="9298" w:type="dxa"/>
            <w:shd w:val="clear" w:color="auto" w:fill="244061" w:themeFill="accent1" w:themeFillShade="80"/>
          </w:tcPr>
          <w:p w:rsidRPr="00703A21" w:rsidR="00B1015A" w:rsidRDefault="00B1015A" w14:paraId="08D105BD" w14:textId="064B82ED">
            <w:pPr>
              <w:pStyle w:val="Para0"/>
              <w:jc w:val="center"/>
              <w:rPr>
                <w:b/>
                <w:bCs/>
                <w:color w:val="FFFFFF" w:themeColor="background1"/>
                <w:sz w:val="24"/>
                <w:szCs w:val="24"/>
              </w:rPr>
            </w:pPr>
            <w:r w:rsidRPr="00703A21">
              <w:rPr>
                <w:b/>
                <w:bCs/>
                <w:noProof/>
                <w:color w:val="FFFFFF" w:themeColor="background1"/>
                <w:sz w:val="24"/>
                <w:szCs w:val="24"/>
              </w:rPr>
              <w:drawing>
                <wp:anchor distT="0" distB="0" distL="114300" distR="114300" simplePos="0" relativeHeight="251658258" behindDoc="1" locked="0" layoutInCell="1" allowOverlap="1" wp14:anchorId="6F0F59FC" wp14:editId="14AF8953">
                  <wp:simplePos x="0" y="0"/>
                  <wp:positionH relativeFrom="column">
                    <wp:posOffset>4919980</wp:posOffset>
                  </wp:positionH>
                  <wp:positionV relativeFrom="paragraph">
                    <wp:posOffset>25400</wp:posOffset>
                  </wp:positionV>
                  <wp:extent cx="914400" cy="914400"/>
                  <wp:effectExtent l="0" t="0" r="0" b="0"/>
                  <wp:wrapTight wrapText="bothSides">
                    <wp:wrapPolygon edited="0">
                      <wp:start x="4050" y="1800"/>
                      <wp:lineTo x="2250" y="4500"/>
                      <wp:lineTo x="2250" y="7650"/>
                      <wp:lineTo x="12600" y="19350"/>
                      <wp:lineTo x="17100" y="19350"/>
                      <wp:lineTo x="18900" y="17100"/>
                      <wp:lineTo x="18900" y="13500"/>
                      <wp:lineTo x="8550" y="1800"/>
                      <wp:lineTo x="4050" y="1800"/>
                    </wp:wrapPolygon>
                  </wp:wrapTight>
                  <wp:docPr id="2073638185" name="Graphic 9" descr="Link with solid fill">
                    <a:extLst xmlns:a="http://schemas.openxmlformats.org/drawingml/2006/main">
                      <a:ext uri="{FF2B5EF4-FFF2-40B4-BE49-F238E27FC236}">
                        <a16:creationId xmlns:a16="http://schemas.microsoft.com/office/drawing/2014/main" id="{B7C8702F-2BF8-C298-122E-A6D0E747D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38185" name="Graphic 9" descr="Link with solid fill">
                            <a:extLst>
                              <a:ext uri="{FF2B5EF4-FFF2-40B4-BE49-F238E27FC236}">
                                <a16:creationId xmlns:a16="http://schemas.microsoft.com/office/drawing/2014/main" id="{B7C8702F-2BF8-C298-122E-A6D0E747D968}"/>
                              </a:ext>
                            </a:extLst>
                          </pic:cNvPr>
                          <pic:cNvPicPr>
                            <a:picLocks noChangeAspect="1"/>
                          </pic:cNvPicPr>
                        </pic:nvPicPr>
                        <pic:blipFill>
                          <a:blip r:embed="rId57">
                            <a:extLst>
                              <a:ext uri="{96DAC541-7B7A-43D3-8B79-37D633B846F1}">
                                <asvg:svgBlip xmlns:asvg="http://schemas.microsoft.com/office/drawing/2016/SVG/main" r:embed="rId58"/>
                              </a:ext>
                            </a:extLst>
                          </a:blip>
                          <a:stretch>
                            <a:fillRect/>
                          </a:stretch>
                        </pic:blipFill>
                        <pic:spPr>
                          <a:xfrm>
                            <a:off x="0" y="0"/>
                            <a:ext cx="914400" cy="914400"/>
                          </a:xfrm>
                          <a:prstGeom prst="rect">
                            <a:avLst/>
                          </a:prstGeom>
                        </pic:spPr>
                      </pic:pic>
                    </a:graphicData>
                  </a:graphic>
                </wp:anchor>
              </w:drawing>
            </w:r>
            <w:r w:rsidRPr="00703A21">
              <w:rPr>
                <w:b/>
                <w:bCs/>
                <w:color w:val="FFFFFF" w:themeColor="background1"/>
                <w:sz w:val="24"/>
                <w:szCs w:val="24"/>
              </w:rPr>
              <w:t xml:space="preserve">Spotlight on results from the TSI Satisfaction Survey </w:t>
            </w:r>
          </w:p>
          <w:p w:rsidRPr="00703A21" w:rsidR="00B1015A" w:rsidRDefault="00B1015A" w14:paraId="55D5DDE1" w14:textId="3D7802EE">
            <w:pPr>
              <w:pStyle w:val="Para0"/>
              <w:jc w:val="center"/>
              <w:rPr>
                <w:b/>
                <w:bCs/>
                <w:color w:val="FFFFFF" w:themeColor="background1"/>
                <w:sz w:val="24"/>
                <w:szCs w:val="24"/>
              </w:rPr>
            </w:pPr>
            <w:r>
              <w:rPr>
                <w:b/>
                <w:bCs/>
                <w:color w:val="FFFFFF" w:themeColor="background1"/>
                <w:sz w:val="24"/>
                <w:szCs w:val="24"/>
              </w:rPr>
              <w:t xml:space="preserve">Seamless Services </w:t>
            </w:r>
          </w:p>
          <w:p w:rsidR="00B1015A" w:rsidP="00B1015A" w:rsidRDefault="00B1015A" w14:paraId="2B23D17F" w14:textId="77777777">
            <w:pPr>
              <w:pStyle w:val="Para0"/>
              <w:numPr>
                <w:ilvl w:val="0"/>
                <w:numId w:val="41"/>
              </w:numPr>
              <w:rPr>
                <w:color w:val="FFFFFF" w:themeColor="background1"/>
              </w:rPr>
            </w:pPr>
            <w:r w:rsidRPr="00B1015A">
              <w:rPr>
                <w:color w:val="FFFFFF" w:themeColor="background1"/>
              </w:rPr>
              <w:t xml:space="preserve">61% of users across the EU-10 are satisfied with how services work together. Younger people are less satisfied with services working together, with 55% of respondents between 18 and 29 years of age satisfied, on average. 60% of users from the 30-49 age bracket are satisfied with how services work together, with 64% of users who are 50+. The Survey results for Austria, Estonia and Croatia do not show a large difference in satisfaction with how services work together across different age groups. </w:t>
            </w:r>
          </w:p>
          <w:p w:rsidRPr="00B1015A" w:rsidR="00E530DA" w:rsidP="00E530DA" w:rsidRDefault="005D6F44" w14:paraId="6D6DE0D5" w14:textId="24666BAE">
            <w:pPr>
              <w:pStyle w:val="Para0"/>
              <w:rPr>
                <w:color w:val="FFFFFF" w:themeColor="background1"/>
              </w:rPr>
            </w:pPr>
            <w:r>
              <w:rPr>
                <w:noProof/>
                <w:color w:val="FFFFFF" w:themeColor="background1"/>
              </w:rPr>
              <w:drawing>
                <wp:inline distT="0" distB="0" distL="0" distR="0" wp14:anchorId="265D5325" wp14:editId="209D870A">
                  <wp:extent cx="5894070" cy="4413250"/>
                  <wp:effectExtent l="0" t="0" r="0" b="6350"/>
                  <wp:docPr id="3986863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b="6498"/>
                          <a:stretch>
                            <a:fillRect/>
                          </a:stretch>
                        </pic:blipFill>
                        <pic:spPr bwMode="auto">
                          <a:xfrm>
                            <a:off x="0" y="0"/>
                            <a:ext cx="5894070" cy="4413250"/>
                          </a:xfrm>
                          <a:prstGeom prst="rect">
                            <a:avLst/>
                          </a:prstGeom>
                          <a:noFill/>
                          <a:ln>
                            <a:noFill/>
                          </a:ln>
                          <a:extLst>
                            <a:ext uri="{53640926-AAD7-44D8-BBD7-CCE9431645EC}">
                              <a14:shadowObscured xmlns:a14="http://schemas.microsoft.com/office/drawing/2010/main"/>
                            </a:ext>
                          </a:extLst>
                        </pic:spPr>
                      </pic:pic>
                    </a:graphicData>
                  </a:graphic>
                </wp:inline>
              </w:drawing>
            </w:r>
          </w:p>
          <w:p w:rsidRPr="00832509" w:rsidR="00D72A06" w:rsidP="00D72A06" w:rsidRDefault="00D72A06" w14:paraId="1A1EA033" w14:textId="6A993318">
            <w:pPr>
              <w:pStyle w:val="Para0"/>
              <w:rPr>
                <w:color w:val="FFFFFF" w:themeColor="background1"/>
                <w:sz w:val="16"/>
                <w:szCs w:val="16"/>
              </w:rPr>
            </w:pPr>
            <w:r w:rsidRPr="00832509">
              <w:rPr>
                <w:color w:val="FFFFFF" w:themeColor="background1"/>
                <w:sz w:val="16"/>
                <w:szCs w:val="16"/>
              </w:rPr>
              <w:t>Note: The dark blue arch represents the average satisfaction level with this driver for user</w:t>
            </w:r>
            <w:r w:rsidRPr="00832509" w:rsidR="00B71546">
              <w:rPr>
                <w:color w:val="FFFFFF" w:themeColor="background1"/>
                <w:sz w:val="16"/>
                <w:szCs w:val="16"/>
              </w:rPr>
              <w:t>s</w:t>
            </w:r>
            <w:r w:rsidRPr="00832509">
              <w:rPr>
                <w:color w:val="FFFFFF" w:themeColor="background1"/>
                <w:sz w:val="16"/>
                <w:szCs w:val="16"/>
              </w:rPr>
              <w:t xml:space="preserve"> of all Life Events across the EU-10. The green pointer represents the satisfaction level of the user for this driver when experiencing the specific Life Event. The pointer position shows whether satisfaction for the specific Life Event is higher or lower than the overall average. </w:t>
            </w:r>
          </w:p>
          <w:p w:rsidRPr="00EE7985" w:rsidR="00B1015A" w:rsidP="00B1015A" w:rsidRDefault="00B1015A" w14:paraId="321AF989" w14:textId="29DE6AE3">
            <w:pPr>
              <w:pStyle w:val="Para0"/>
              <w:numPr>
                <w:ilvl w:val="0"/>
                <w:numId w:val="41"/>
              </w:numPr>
              <w:rPr>
                <w:b/>
                <w:bCs/>
                <w:color w:val="FFFFFF" w:themeColor="background1"/>
              </w:rPr>
            </w:pPr>
            <w:r w:rsidRPr="00B1015A">
              <w:rPr>
                <w:color w:val="FFFFFF" w:themeColor="background1"/>
              </w:rPr>
              <w:t>When user’s needs are resolved with only one interaction, user satisfaction is 20 percentage points higher.</w:t>
            </w:r>
          </w:p>
        </w:tc>
      </w:tr>
    </w:tbl>
    <w:p w:rsidR="00E76451" w:rsidP="00C45E16" w:rsidRDefault="002F056F" w14:paraId="0D845E11" w14:textId="72F010B7">
      <w:pPr>
        <w:pStyle w:val="Heading3"/>
      </w:pPr>
      <w:r>
        <w:t>Country practices and lessons learnt</w:t>
      </w:r>
    </w:p>
    <w:p w:rsidR="00034023" w:rsidP="00034023" w:rsidRDefault="00034023" w14:paraId="3E69FCA7" w14:textId="553D7A49">
      <w:pPr>
        <w:pStyle w:val="Para0"/>
        <w:rPr>
          <w:lang w:val="en-US"/>
        </w:rPr>
      </w:pPr>
      <w:bookmarkStart w:name="_Ref213840779" w:id="81"/>
      <w:r w:rsidRPr="00832509">
        <w:rPr>
          <w:b/>
          <w:bCs/>
          <w:lang w:val="en-US"/>
        </w:rPr>
        <w:t xml:space="preserve">There is significant variation in how the 10 EU countries structure public service delivery across government levels, as revealed by the </w:t>
      </w:r>
      <w:r w:rsidRPr="00832509">
        <w:rPr>
          <w:b/>
          <w:bCs/>
          <w:i/>
          <w:iCs/>
          <w:lang w:val="en-US"/>
        </w:rPr>
        <w:t>OECD Serving Citizens Survey</w:t>
      </w:r>
      <w:r w:rsidR="00841E91">
        <w:rPr>
          <w:i/>
          <w:iCs/>
          <w:lang w:val="en-US"/>
        </w:rPr>
        <w:t xml:space="preserve"> </w:t>
      </w:r>
      <w:r w:rsidR="00841E91">
        <w:rPr>
          <w:lang w:val="en-US"/>
        </w:rPr>
        <w:t>(</w:t>
      </w:r>
      <w:r w:rsidR="00841E91">
        <w:rPr>
          <w:lang w:val="en-US"/>
        </w:rPr>
        <w:fldChar w:fldCharType="begin"/>
      </w:r>
      <w:r w:rsidR="00841E91">
        <w:rPr>
          <w:lang w:val="en-US"/>
        </w:rPr>
        <w:instrText xml:space="preserve"> REF _Ref215435933 \h </w:instrText>
      </w:r>
      <w:r w:rsidR="00841E91">
        <w:rPr>
          <w:lang w:val="en-US"/>
        </w:rPr>
      </w:r>
      <w:r w:rsidR="00841E91">
        <w:rPr>
          <w:lang w:val="en-US"/>
        </w:rPr>
        <w:fldChar w:fldCharType="separate"/>
      </w:r>
      <w:r w:rsidR="00543B3D">
        <w:t>Figure </w:t>
      </w:r>
      <w:r w:rsidR="00543B3D">
        <w:rPr>
          <w:noProof/>
        </w:rPr>
        <w:t>3</w:t>
      </w:r>
      <w:r w:rsidR="00543B3D">
        <w:t>.</w:t>
      </w:r>
      <w:r w:rsidR="00543B3D">
        <w:rPr>
          <w:noProof/>
        </w:rPr>
        <w:t>2</w:t>
      </w:r>
      <w:r w:rsidR="00841E91">
        <w:rPr>
          <w:lang w:val="en-US"/>
        </w:rPr>
        <w:fldChar w:fldCharType="end"/>
      </w:r>
      <w:r w:rsidR="00841E91">
        <w:rPr>
          <w:lang w:val="en-US"/>
        </w:rPr>
        <w:t>)</w:t>
      </w:r>
      <w:r w:rsidR="00841E91">
        <w:rPr>
          <w:i/>
          <w:iCs/>
          <w:lang w:val="en-US"/>
        </w:rPr>
        <w:t xml:space="preserve">. </w:t>
      </w:r>
      <w:r w:rsidRPr="00D53F2B">
        <w:rPr>
          <w:lang w:val="en-US"/>
        </w:rPr>
        <w:t>Highly centrali</w:t>
      </w:r>
      <w:r>
        <w:rPr>
          <w:lang w:val="en-US"/>
        </w:rPr>
        <w:t>s</w:t>
      </w:r>
      <w:r w:rsidRPr="00D53F2B">
        <w:rPr>
          <w:lang w:val="en-US"/>
        </w:rPr>
        <w:t xml:space="preserve">ed services like </w:t>
      </w:r>
      <w:r>
        <w:rPr>
          <w:lang w:val="en-US"/>
        </w:rPr>
        <w:t>filing income taxes</w:t>
      </w:r>
      <w:r w:rsidRPr="00D53F2B">
        <w:rPr>
          <w:lang w:val="en-US"/>
        </w:rPr>
        <w:t xml:space="preserve">, </w:t>
      </w:r>
      <w:r>
        <w:rPr>
          <w:lang w:val="en-US"/>
        </w:rPr>
        <w:t>pensions</w:t>
      </w:r>
      <w:r w:rsidR="00217000">
        <w:rPr>
          <w:lang w:val="en-US"/>
        </w:rPr>
        <w:t xml:space="preserve"> linked to retirement</w:t>
      </w:r>
      <w:r>
        <w:rPr>
          <w:lang w:val="en-US"/>
        </w:rPr>
        <w:t xml:space="preserve"> and vehicle registration</w:t>
      </w:r>
      <w:r w:rsidRPr="00D53F2B">
        <w:rPr>
          <w:lang w:val="en-US"/>
        </w:rPr>
        <w:t xml:space="preserve"> are predominantly delivered at the </w:t>
      </w:r>
      <w:r>
        <w:rPr>
          <w:lang w:val="en-US"/>
        </w:rPr>
        <w:t>c</w:t>
      </w:r>
      <w:r w:rsidRPr="00D53F2B">
        <w:rPr>
          <w:lang w:val="en-US"/>
        </w:rPr>
        <w:t>entral/</w:t>
      </w:r>
      <w:r>
        <w:rPr>
          <w:lang w:val="en-US"/>
        </w:rPr>
        <w:t>f</w:t>
      </w:r>
      <w:r w:rsidRPr="00D53F2B">
        <w:rPr>
          <w:lang w:val="en-US"/>
        </w:rPr>
        <w:t xml:space="preserve">ederal level across most countries, while </w:t>
      </w:r>
      <w:r>
        <w:rPr>
          <w:lang w:val="en-US"/>
        </w:rPr>
        <w:t>some services</w:t>
      </w:r>
      <w:r w:rsidRPr="00D53F2B">
        <w:rPr>
          <w:lang w:val="en-US"/>
        </w:rPr>
        <w:t xml:space="preserve"> such as</w:t>
      </w:r>
      <w:r>
        <w:rPr>
          <w:lang w:val="en-US"/>
        </w:rPr>
        <w:t xml:space="preserve"> birth, marriage, death registration and business registration more commonly share responsibility between levels of government or are managed at local and state/regional levels.</w:t>
      </w:r>
      <w:r w:rsidRPr="00D53F2B">
        <w:rPr>
          <w:lang w:val="en-US"/>
        </w:rPr>
        <w:t xml:space="preserve"> </w:t>
      </w:r>
    </w:p>
    <w:p w:rsidR="0011609D" w:rsidP="0011609D" w:rsidRDefault="0011609D" w14:paraId="40D311FC" w14:textId="2F70FDC3">
      <w:pPr>
        <w:pStyle w:val="Caption"/>
      </w:pPr>
      <w:bookmarkStart w:name="_Ref215435933" w:id="82"/>
      <w:bookmarkStart w:name="_Toc223413765" w:id="83"/>
      <w:r>
        <w:t>Figure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2</w:t>
      </w:r>
      <w:r>
        <w:rPr>
          <w:noProof/>
        </w:rPr>
        <w:fldChar w:fldCharType="end"/>
      </w:r>
      <w:bookmarkEnd w:id="81"/>
      <w:bookmarkEnd w:id="82"/>
      <w:r>
        <w:t xml:space="preserve">. </w:t>
      </w:r>
      <w:r w:rsidRPr="00272D97">
        <w:t xml:space="preserve">Distribution of </w:t>
      </w:r>
      <w:r>
        <w:t>s</w:t>
      </w:r>
      <w:r w:rsidRPr="00272D97">
        <w:t xml:space="preserve">ervice </w:t>
      </w:r>
      <w:r>
        <w:t>r</w:t>
      </w:r>
      <w:r w:rsidRPr="00272D97">
        <w:t xml:space="preserve">esponsibility </w:t>
      </w:r>
      <w:r>
        <w:t>a</w:t>
      </w:r>
      <w:r w:rsidRPr="00272D97">
        <w:t xml:space="preserve">cross </w:t>
      </w:r>
      <w:r>
        <w:t>l</w:t>
      </w:r>
      <w:r w:rsidRPr="00272D97">
        <w:t xml:space="preserve">evels of </w:t>
      </w:r>
      <w:r>
        <w:t>g</w:t>
      </w:r>
      <w:r w:rsidRPr="00272D97">
        <w:t>overnment</w:t>
      </w:r>
      <w:r>
        <w:t xml:space="preserve"> in the EU-10</w:t>
      </w:r>
      <w:bookmarkEnd w:id="83"/>
    </w:p>
    <w:p w:rsidR="0011609D" w:rsidP="0011609D" w:rsidRDefault="0011609D" w14:paraId="7C65BB3F" w14:textId="77777777">
      <w:pPr>
        <w:pStyle w:val="CaptionSubtitle"/>
      </w:pPr>
      <w:r>
        <w:t>Levels of government responsible for specific public services by country.</w:t>
      </w:r>
    </w:p>
    <w:p w:rsidR="0011609D" w:rsidP="0011609D" w:rsidRDefault="0011609D" w14:paraId="65CD63C2" w14:textId="77777777">
      <w:pPr>
        <w:pStyle w:val="Figure"/>
        <w:rPr>
          <w:i/>
        </w:rPr>
      </w:pPr>
      <w:r>
        <w:rPr>
          <w:noProof/>
        </w:rPr>
        <w:drawing>
          <wp:inline distT="0" distB="0" distL="0" distR="0" wp14:anchorId="2ED26DFC" wp14:editId="71439CB6">
            <wp:extent cx="5888355" cy="3530600"/>
            <wp:effectExtent l="0" t="0" r="0" b="0"/>
            <wp:docPr id="1324776853" name="Picture 1" descr="A chart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776853" name="Picture 1" descr="A chart of different colors&#10;&#10;AI-generated content may be incorrect."/>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888355" cy="3530600"/>
                    </a:xfrm>
                    <a:prstGeom prst="rect">
                      <a:avLst/>
                    </a:prstGeom>
                    <a:noFill/>
                    <a:ln>
                      <a:noFill/>
                    </a:ln>
                  </pic:spPr>
                </pic:pic>
              </a:graphicData>
            </a:graphic>
          </wp:inline>
        </w:drawing>
      </w:r>
    </w:p>
    <w:p w:rsidRPr="004802B4" w:rsidR="0011609D" w:rsidP="0011609D" w:rsidRDefault="0011609D" w14:paraId="1378FDB2" w14:textId="77777777">
      <w:pPr>
        <w:pStyle w:val="Sourcenotes"/>
      </w:pPr>
      <w:r w:rsidRPr="004802B4">
        <w:t xml:space="preserve">Note: </w:t>
      </w:r>
      <w:r>
        <w:t>Question asked was “</w:t>
      </w:r>
      <w:r w:rsidRPr="000843C6">
        <w:t>Which level(s) of government are responsible for delivering the following commonly-used public administrative services?</w:t>
      </w:r>
      <w:r>
        <w:t>”</w:t>
      </w:r>
    </w:p>
    <w:p w:rsidRPr="00454399" w:rsidR="0011609D" w:rsidP="0011609D" w:rsidRDefault="0011609D" w14:paraId="23A93E94" w14:textId="6A717D5F">
      <w:pPr>
        <w:pStyle w:val="Sourcenotes"/>
      </w:pPr>
      <w:r w:rsidRPr="004802B4">
        <w:t xml:space="preserve">Source: </w:t>
      </w:r>
      <w:sdt>
        <w:sdtPr>
          <w:id w:val="-1080211409"/>
          <w:citation/>
        </w:sdtPr>
        <w:sdtEndPr/>
        <w:sdtContent>
          <w:r>
            <w:fldChar w:fldCharType="begin"/>
          </w:r>
          <w:r>
            <w:instrText xml:space="preserve">CITATION Mend_3D67lUxdTjmhmslx8w5nRg \l 2057 </w:instrText>
          </w:r>
          <w:r>
            <w:fldChar w:fldCharType="separate"/>
          </w:r>
          <w:r w:rsidRPr="00F86F21" w:rsidR="00F86F21">
            <w:rPr>
              <w:noProof/>
            </w:rPr>
            <w:t>(OECD, Forthcoming</w:t>
          </w:r>
          <w:r w:rsidRPr="00F86F21" w:rsidR="00F86F21">
            <w:rPr>
              <w:noProof/>
              <w:vertAlign w:val="subscript"/>
            </w:rPr>
            <w:t>[17]</w:t>
          </w:r>
          <w:r w:rsidRPr="00F86F21" w:rsidR="00F86F21">
            <w:rPr>
              <w:noProof/>
            </w:rPr>
            <w:t>)</w:t>
          </w:r>
          <w:r>
            <w:fldChar w:fldCharType="end"/>
          </w:r>
        </w:sdtContent>
      </w:sdt>
      <w:r>
        <w:t>.</w:t>
      </w:r>
    </w:p>
    <w:p w:rsidR="00543B3D" w:rsidRDefault="00440DE5" w14:paraId="5B14E5AC" w14:textId="77777777">
      <w:pPr>
        <w:widowControl/>
        <w:spacing w:after="200" w:line="276" w:lineRule="auto"/>
        <w:jc w:val="left"/>
        <w:rPr>
          <w:rFonts w:asciiTheme="majorHAnsi" w:hAnsiTheme="majorHAnsi"/>
          <w:b/>
          <w:iCs/>
          <w:color w:val="4E81BD" w:themeColor="accent1"/>
          <w:sz w:val="24"/>
          <w:szCs w:val="18"/>
        </w:rPr>
      </w:pPr>
      <w:r>
        <w:rPr>
          <w:b/>
        </w:rPr>
        <w:t xml:space="preserve">Another challenge is associated to limiting the number of interactions between users and the administration </w:t>
      </w:r>
      <w:r w:rsidRPr="006A388E">
        <w:rPr>
          <w:bCs/>
        </w:rPr>
        <w:t xml:space="preserve">during one </w:t>
      </w:r>
      <w:r w:rsidR="00D72A06">
        <w:rPr>
          <w:bCs/>
        </w:rPr>
        <w:t>Life Event</w:t>
      </w:r>
      <w:r w:rsidRPr="006A388E">
        <w:rPr>
          <w:bCs/>
        </w:rPr>
        <w:t>.</w:t>
      </w:r>
      <w:r>
        <w:rPr>
          <w:bCs/>
        </w:rPr>
        <w:t xml:space="preserve"> </w:t>
      </w:r>
      <w:r w:rsidRPr="00841E91">
        <w:rPr>
          <w:b/>
        </w:rPr>
        <w:t>When user’s needs are resolved with only one interaction, user satisfaction is 20 percentage points higher</w:t>
      </w:r>
      <w:r>
        <w:rPr>
          <w:bCs/>
        </w:rPr>
        <w:t>. On the contrary, satisfaction is below 50% when users need to contact more than 5 times the public services</w:t>
      </w:r>
      <w:r w:rsidR="00841E91">
        <w:rPr>
          <w:bCs/>
        </w:rPr>
        <w:t xml:space="preserve"> (</w:t>
      </w:r>
      <w:r w:rsidR="00841E91">
        <w:rPr>
          <w:bCs/>
        </w:rPr>
        <w:fldChar w:fldCharType="begin"/>
      </w:r>
      <w:r w:rsidR="00841E91">
        <w:rPr>
          <w:bCs/>
        </w:rPr>
        <w:instrText xml:space="preserve"> REF _Ref215435964 \h </w:instrText>
      </w:r>
      <w:r w:rsidR="00841E91">
        <w:rPr>
          <w:bCs/>
        </w:rPr>
      </w:r>
      <w:r w:rsidR="00841E91">
        <w:rPr>
          <w:bCs/>
        </w:rPr>
        <w:fldChar w:fldCharType="separate"/>
      </w:r>
      <w:r w:rsidR="00543B3D">
        <w:br w:type="page"/>
      </w:r>
    </w:p>
    <w:p w:rsidR="00841E91" w:rsidP="00841E91" w:rsidRDefault="00543B3D" w14:paraId="5D465A8F" w14:textId="00E6DCFB">
      <w:pPr>
        <w:pStyle w:val="Para"/>
        <w:numPr>
          <w:ilvl w:val="0"/>
          <w:numId w:val="0"/>
        </w:numPr>
        <w:rPr>
          <w:b/>
        </w:rPr>
      </w:pPr>
      <w:r>
        <w:t>Figure </w:t>
      </w:r>
      <w:r>
        <w:rPr>
          <w:noProof/>
        </w:rPr>
        <w:t>3</w:t>
      </w:r>
      <w:r>
        <w:t>.</w:t>
      </w:r>
      <w:r>
        <w:rPr>
          <w:noProof/>
        </w:rPr>
        <w:t>3</w:t>
      </w:r>
      <w:r w:rsidR="00841E91">
        <w:rPr>
          <w:bCs/>
        </w:rPr>
        <w:fldChar w:fldCharType="end"/>
      </w:r>
      <w:r w:rsidR="00841E91">
        <w:rPr>
          <w:bCs/>
        </w:rPr>
        <w:t>)</w:t>
      </w:r>
      <w:r w:rsidR="00440DE5">
        <w:rPr>
          <w:bCs/>
        </w:rPr>
        <w:t xml:space="preserve">. </w:t>
      </w:r>
      <w:r w:rsidRPr="006A388E" w:rsidR="00841E91">
        <w:rPr>
          <w:bCs/>
        </w:rPr>
        <w:t>Improved co</w:t>
      </w:r>
      <w:r w:rsidR="00012E6C">
        <w:rPr>
          <w:bCs/>
        </w:rPr>
        <w:t>-</w:t>
      </w:r>
      <w:r w:rsidRPr="006A388E" w:rsidR="00841E91">
        <w:rPr>
          <w:bCs/>
        </w:rPr>
        <w:t xml:space="preserve">ordination between services providers is essential in that regard to avoid </w:t>
      </w:r>
      <w:r w:rsidRPr="00030363" w:rsidR="00841E91">
        <w:rPr>
          <w:bCs/>
        </w:rPr>
        <w:t>unnecessary</w:t>
      </w:r>
      <w:r w:rsidRPr="006A388E" w:rsidR="00841E91">
        <w:rPr>
          <w:bCs/>
        </w:rPr>
        <w:t xml:space="preserve"> interactions and give precedence to exchange of information</w:t>
      </w:r>
      <w:r w:rsidR="00841E91">
        <w:rPr>
          <w:bCs/>
        </w:rPr>
        <w:t xml:space="preserve"> and files</w:t>
      </w:r>
      <w:r w:rsidRPr="006A388E" w:rsidR="00841E91">
        <w:rPr>
          <w:bCs/>
        </w:rPr>
        <w:t xml:space="preserve"> between public institutions.</w:t>
      </w:r>
    </w:p>
    <w:p w:rsidR="005054A7" w:rsidRDefault="005054A7" w14:paraId="120539D2" w14:textId="77777777">
      <w:pPr>
        <w:widowControl/>
        <w:spacing w:after="200" w:line="276" w:lineRule="auto"/>
        <w:jc w:val="left"/>
        <w:rPr>
          <w:rFonts w:asciiTheme="majorHAnsi" w:hAnsiTheme="majorHAnsi"/>
          <w:b/>
          <w:iCs/>
          <w:color w:val="4E81BD" w:themeColor="accent1"/>
          <w:sz w:val="24"/>
          <w:szCs w:val="18"/>
        </w:rPr>
      </w:pPr>
      <w:bookmarkStart w:name="_Ref215435964" w:id="84"/>
      <w:r>
        <w:br w:type="page"/>
      </w:r>
    </w:p>
    <w:p w:rsidRPr="00841E91" w:rsidR="00841E91" w:rsidP="00841E91" w:rsidRDefault="00841E91" w14:paraId="05284DF1" w14:textId="56EE9C8F">
      <w:pPr>
        <w:pStyle w:val="Caption"/>
        <w:rPr>
          <w:lang w:val="en-US"/>
        </w:rPr>
      </w:pPr>
      <w:bookmarkStart w:name="_Toc223413766" w:id="85"/>
      <w:r>
        <w:t>Figure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3</w:t>
      </w:r>
      <w:r>
        <w:rPr>
          <w:noProof/>
        </w:rPr>
        <w:fldChar w:fldCharType="end"/>
      </w:r>
      <w:bookmarkEnd w:id="84"/>
      <w:r>
        <w:t xml:space="preserve">. </w:t>
      </w:r>
      <w:r w:rsidRPr="00841E91">
        <w:rPr>
          <w:bCs/>
          <w:lang w:val="en-US"/>
        </w:rPr>
        <w:t>When user’s needs are resolved with only one interaction, user satisfaction is 20 percentage points higher</w:t>
      </w:r>
      <w:bookmarkEnd w:id="85"/>
    </w:p>
    <w:p w:rsidRPr="00841E91" w:rsidR="00841E91" w:rsidP="00CB0F97" w:rsidRDefault="00841E91" w14:paraId="5396CFBD" w14:textId="2D4DF44C">
      <w:pPr>
        <w:pStyle w:val="Figure"/>
        <w:jc w:val="left"/>
        <w:rPr>
          <w:rFonts w:asciiTheme="majorHAnsi" w:hAnsiTheme="majorHAnsi"/>
          <w:color w:val="000000" w:themeColor="text1"/>
          <w:lang w:val="en-US"/>
        </w:rPr>
      </w:pPr>
      <w:r w:rsidRPr="00841E91">
        <w:rPr>
          <w:rFonts w:asciiTheme="majorHAnsi" w:hAnsiTheme="majorHAnsi"/>
          <w:color w:val="000000" w:themeColor="text1"/>
          <w:lang w:val="en-US"/>
        </w:rPr>
        <w:t>Share of users who indicate different levels of satisfaction based on number of interactions with public services on a scale of 1-5</w:t>
      </w:r>
      <w:r w:rsidR="00CB0F97">
        <w:rPr>
          <w:rFonts w:asciiTheme="majorHAnsi" w:hAnsiTheme="majorHAnsi"/>
          <w:color w:val="000000" w:themeColor="text1"/>
          <w:lang w:val="en-US"/>
        </w:rPr>
        <w:t>.</w:t>
      </w:r>
    </w:p>
    <w:p w:rsidR="00841E91" w:rsidRDefault="00841E91" w14:paraId="4DB4C5D3" w14:textId="5DC35BA6">
      <w:pPr>
        <w:pStyle w:val="Figure"/>
        <w:rPr>
          <w:i/>
        </w:rPr>
      </w:pPr>
      <w:r w:rsidRPr="00841E91">
        <w:rPr>
          <w:i/>
          <w:noProof/>
        </w:rPr>
        <w:drawing>
          <wp:inline distT="0" distB="0" distL="0" distR="0" wp14:anchorId="2A9FE10C" wp14:editId="57772320">
            <wp:extent cx="5904230" cy="2730500"/>
            <wp:effectExtent l="0" t="0" r="0" b="0"/>
            <wp:docPr id="4" name="Picture 3" descr="A screenshot of a computer&#10;&#10;Description automatically generated">
              <a:extLst xmlns:a="http://schemas.openxmlformats.org/drawingml/2006/main">
                <a:ext uri="{FF2B5EF4-FFF2-40B4-BE49-F238E27FC236}">
                  <a16:creationId xmlns:a16="http://schemas.microsoft.com/office/drawing/2014/main" id="{E567CE27-8F7B-8066-0B5C-C5EB6A6BB0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screenshot of a computer&#10;&#10;Description automatically generated">
                      <a:extLst>
                        <a:ext uri="{FF2B5EF4-FFF2-40B4-BE49-F238E27FC236}">
                          <a16:creationId xmlns:a16="http://schemas.microsoft.com/office/drawing/2014/main" id="{E567CE27-8F7B-8066-0B5C-C5EB6A6BB09E}"/>
                        </a:ext>
                      </a:extLst>
                    </pic:cNvPr>
                    <pic:cNvPicPr>
                      <a:picLocks noChangeAspect="1"/>
                    </pic:cNvPicPr>
                  </pic:nvPicPr>
                  <pic:blipFill rotWithShape="1">
                    <a:blip r:embed="rId61" cstate="print">
                      <a:extLst>
                        <a:ext uri="{28A0092B-C50C-407E-A947-70E740481C1C}">
                          <a14:useLocalDpi xmlns:a14="http://schemas.microsoft.com/office/drawing/2010/main" val="0"/>
                        </a:ext>
                      </a:extLst>
                    </a:blip>
                    <a:srcRect b="7507"/>
                    <a:stretch>
                      <a:fillRect/>
                    </a:stretch>
                  </pic:blipFill>
                  <pic:spPr bwMode="auto">
                    <a:xfrm>
                      <a:off x="0" y="0"/>
                      <a:ext cx="5904230" cy="2730500"/>
                    </a:xfrm>
                    <a:prstGeom prst="rect">
                      <a:avLst/>
                    </a:prstGeom>
                    <a:ln>
                      <a:noFill/>
                    </a:ln>
                    <a:extLst>
                      <a:ext uri="{53640926-AAD7-44D8-BBD7-CCE9431645EC}">
                        <a14:shadowObscured xmlns:a14="http://schemas.microsoft.com/office/drawing/2010/main"/>
                      </a:ext>
                    </a:extLst>
                  </pic:spPr>
                </pic:pic>
              </a:graphicData>
            </a:graphic>
          </wp:inline>
        </w:drawing>
      </w:r>
    </w:p>
    <w:p w:rsidRPr="00454399" w:rsidR="00841E91" w:rsidRDefault="00841E91" w14:paraId="0737C6C2" w14:textId="4C9AD39B">
      <w:pPr>
        <w:pStyle w:val="Sourcenotes"/>
      </w:pPr>
      <w:r w:rsidRPr="004802B4">
        <w:t xml:space="preserve">Source: </w:t>
      </w:r>
      <w:sdt>
        <w:sdtPr>
          <w:id w:val="1853288093"/>
          <w:citation/>
        </w:sdtPr>
        <w:sdtEndPr/>
        <w:sdtContent>
          <w:r w:rsidR="00A137B1">
            <w:fldChar w:fldCharType="begin"/>
          </w:r>
          <w:r w:rsidR="00A137B1">
            <w:instrText xml:space="preserve"> CITATION Mend_I5iOc2w6yDG7UBAYJdq___g \l 2057 </w:instrText>
          </w:r>
          <w:r w:rsidR="00A137B1">
            <w:fldChar w:fldCharType="separate"/>
          </w:r>
          <w:r w:rsidRPr="00F86F21" w:rsidR="00F86F21">
            <w:rPr>
              <w:noProof/>
            </w:rPr>
            <w:t>(OECD, 2024</w:t>
          </w:r>
          <w:r w:rsidRPr="00F86F21" w:rsidR="00F86F21">
            <w:rPr>
              <w:noProof/>
              <w:vertAlign w:val="subscript"/>
            </w:rPr>
            <w:t>[15]</w:t>
          </w:r>
          <w:r w:rsidRPr="00F86F21" w:rsidR="00F86F21">
            <w:rPr>
              <w:noProof/>
            </w:rPr>
            <w:t>)</w:t>
          </w:r>
          <w:r w:rsidR="00A137B1">
            <w:fldChar w:fldCharType="end"/>
          </w:r>
        </w:sdtContent>
      </w:sdt>
      <w:r w:rsidR="00A137B1">
        <w:t>.</w:t>
      </w:r>
    </w:p>
    <w:p w:rsidR="00D9510B" w:rsidP="00D9510B" w:rsidRDefault="00D9510B" w14:paraId="3F8EA1A5" w14:textId="52A9A0F2">
      <w:pPr>
        <w:pStyle w:val="Heading4"/>
      </w:pPr>
      <w:r>
        <w:t xml:space="preserve">Governance structures to support public service transformation </w:t>
      </w:r>
    </w:p>
    <w:p w:rsidR="00812FA8" w:rsidP="0011609D" w:rsidRDefault="00812FA8" w14:paraId="5152CB9D" w14:textId="055FA1B8">
      <w:pPr>
        <w:pStyle w:val="Para"/>
        <w:numPr>
          <w:ilvl w:val="0"/>
          <w:numId w:val="0"/>
        </w:numPr>
      </w:pPr>
      <w:r w:rsidRPr="00EF6FCA">
        <w:rPr>
          <w:b/>
        </w:rPr>
        <w:t>A public body or committee tasked with public service improvement can be crucial to foster alignment between different services and providers across government levels, hence ensuring services working together</w:t>
      </w:r>
      <w:r>
        <w:t>.</w:t>
      </w:r>
      <w:r w:rsidR="00841E91">
        <w:t xml:space="preserve"> </w:t>
      </w:r>
      <w:r w:rsidR="00841E91">
        <w:fldChar w:fldCharType="begin"/>
      </w:r>
      <w:r w:rsidR="00841E91">
        <w:instrText xml:space="preserve"> REF _Ref213426304 \h </w:instrText>
      </w:r>
      <w:r w:rsidR="00841E91">
        <w:fldChar w:fldCharType="separate"/>
      </w:r>
      <w:r w:rsidR="00543B3D">
        <w:t>Figure </w:t>
      </w:r>
      <w:r w:rsidR="00543B3D">
        <w:rPr>
          <w:noProof/>
        </w:rPr>
        <w:t>3</w:t>
      </w:r>
      <w:r w:rsidR="00543B3D">
        <w:t>.</w:t>
      </w:r>
      <w:r w:rsidR="00543B3D">
        <w:rPr>
          <w:noProof/>
        </w:rPr>
        <w:t>4</w:t>
      </w:r>
      <w:r w:rsidR="00841E91">
        <w:fldChar w:fldCharType="end"/>
      </w:r>
      <w:r>
        <w:t xml:space="preserve"> shows that six countries have established </w:t>
      </w:r>
      <w:r w:rsidR="005054A7">
        <w:t xml:space="preserve">such </w:t>
      </w:r>
      <w:r>
        <w:t xml:space="preserve">entities for service improvements. </w:t>
      </w:r>
    </w:p>
    <w:p w:rsidR="00812FA8" w:rsidP="00812FA8" w:rsidRDefault="00812FA8" w14:paraId="705A2E1C" w14:textId="13EFFE28">
      <w:pPr>
        <w:pStyle w:val="Caption"/>
      </w:pPr>
      <w:bookmarkStart w:name="_Ref213426304" w:id="86"/>
      <w:bookmarkStart w:name="_Toc223413767" w:id="87"/>
      <w:r>
        <w:t>Figure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4</w:t>
      </w:r>
      <w:r>
        <w:rPr>
          <w:noProof/>
        </w:rPr>
        <w:fldChar w:fldCharType="end"/>
      </w:r>
      <w:bookmarkEnd w:id="86"/>
      <w:r>
        <w:t xml:space="preserve">. 6 EU-10 countries leverage a </w:t>
      </w:r>
      <w:bookmarkStart w:name="_Hlk214012384" w:id="88"/>
      <w:r>
        <w:t>body/committee for public service improvement</w:t>
      </w:r>
      <w:bookmarkEnd w:id="87"/>
    </w:p>
    <w:bookmarkEnd w:id="88"/>
    <w:p w:rsidR="00812FA8" w:rsidP="00812FA8" w:rsidRDefault="00812FA8" w14:paraId="4EA7CD79" w14:textId="77777777">
      <w:pPr>
        <w:pStyle w:val="CaptionSubtitle"/>
      </w:pPr>
      <w:r w:rsidRPr="006606C4">
        <w:t>Existence of body/committee responsible for service improvement in the EU-10</w:t>
      </w:r>
      <w:r>
        <w:t>.</w:t>
      </w:r>
    </w:p>
    <w:p w:rsidR="00812FA8" w:rsidP="00812FA8" w:rsidRDefault="00812FA8" w14:paraId="16828AFA" w14:textId="77777777">
      <w:pPr>
        <w:pStyle w:val="Figure"/>
        <w:rPr>
          <w:i/>
        </w:rPr>
      </w:pPr>
      <w:r>
        <w:rPr>
          <w:i/>
          <w:noProof/>
        </w:rPr>
        <w:drawing>
          <wp:inline distT="0" distB="0" distL="0" distR="0" wp14:anchorId="56599F9A" wp14:editId="731799F1">
            <wp:extent cx="4756150" cy="2143935"/>
            <wp:effectExtent l="0" t="0" r="6350" b="8890"/>
            <wp:docPr id="51219584" name="Picture 5" descr="A blue and grey pi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19584" name="Picture 5" descr="A blue and grey pie chart&#10;&#10;AI-generated content may be incorrect."/>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b="9836"/>
                    <a:stretch>
                      <a:fillRect/>
                    </a:stretch>
                  </pic:blipFill>
                  <pic:spPr bwMode="auto">
                    <a:xfrm>
                      <a:off x="0" y="0"/>
                      <a:ext cx="4793442" cy="2160745"/>
                    </a:xfrm>
                    <a:prstGeom prst="rect">
                      <a:avLst/>
                    </a:prstGeom>
                    <a:noFill/>
                    <a:ln>
                      <a:noFill/>
                    </a:ln>
                    <a:extLst>
                      <a:ext uri="{53640926-AAD7-44D8-BBD7-CCE9431645EC}">
                        <a14:shadowObscured xmlns:a14="http://schemas.microsoft.com/office/drawing/2010/main"/>
                      </a:ext>
                    </a:extLst>
                  </pic:spPr>
                </pic:pic>
              </a:graphicData>
            </a:graphic>
          </wp:inline>
        </w:drawing>
      </w:r>
    </w:p>
    <w:p w:rsidRPr="007B07F8" w:rsidR="00812FA8" w:rsidP="00812FA8" w:rsidRDefault="00812FA8" w14:paraId="291A6181" w14:textId="77777777">
      <w:pPr>
        <w:pStyle w:val="Sourcenotes"/>
      </w:pPr>
      <w:r w:rsidRPr="007B07F8">
        <w:t xml:space="preserve">Note: Question asked was </w:t>
      </w:r>
      <w:r>
        <w:t>“</w:t>
      </w:r>
      <w:r w:rsidRPr="00074C71">
        <w:rPr>
          <w:i/>
          <w:iCs/>
        </w:rPr>
        <w:t>Has a responsible body/committee been appointed to oversee improvement of public administrative services within the central/federal government?</w:t>
      </w:r>
      <w:r>
        <w:t>”.</w:t>
      </w:r>
    </w:p>
    <w:p w:rsidR="003651A3" w:rsidP="00812FA8" w:rsidRDefault="00812FA8" w14:paraId="3EC016E9" w14:textId="4E958DD2">
      <w:pPr>
        <w:pStyle w:val="Sourcenotes"/>
        <w:rPr>
          <w:lang w:val="en-US"/>
        </w:rPr>
      </w:pPr>
      <w:r w:rsidRPr="007B07F8">
        <w:rPr>
          <w:lang w:val="en-US"/>
        </w:rPr>
        <w:t xml:space="preserve">Source: </w:t>
      </w:r>
      <w:sdt>
        <w:sdtPr>
          <w:id w:val="491921447"/>
          <w:citation/>
        </w:sdtPr>
        <w:sdtEndPr/>
        <w:sdtContent>
          <w:r>
            <w:fldChar w:fldCharType="begin"/>
          </w:r>
          <w:r w:rsidRPr="007B07F8">
            <w:rPr>
              <w:lang w:val="en-US"/>
            </w:rPr>
            <w:instrText xml:space="preserve"> CITATION Mend_3D67lUxdTjmhmslx8w5nRg \l 2057 </w:instrText>
          </w:r>
          <w:r>
            <w:fldChar w:fldCharType="separate"/>
          </w:r>
          <w:r w:rsidRPr="00F86F21" w:rsidR="00F86F21">
            <w:rPr>
              <w:noProof/>
              <w:lang w:val="en-US"/>
            </w:rPr>
            <w:t>(OECD, Forthcoming</w:t>
          </w:r>
          <w:r w:rsidRPr="00F86F21" w:rsidR="00F86F21">
            <w:rPr>
              <w:noProof/>
              <w:vertAlign w:val="subscript"/>
              <w:lang w:val="en-US"/>
            </w:rPr>
            <w:t>[17]</w:t>
          </w:r>
          <w:r w:rsidRPr="00F86F21" w:rsidR="00F86F21">
            <w:rPr>
              <w:noProof/>
              <w:lang w:val="en-US"/>
            </w:rPr>
            <w:t>)</w:t>
          </w:r>
          <w:r>
            <w:fldChar w:fldCharType="end"/>
          </w:r>
        </w:sdtContent>
      </w:sdt>
      <w:r w:rsidRPr="007B07F8">
        <w:rPr>
          <w:lang w:val="en-US"/>
        </w:rPr>
        <w:t>.</w:t>
      </w:r>
    </w:p>
    <w:p w:rsidR="005B0A39" w:rsidP="005B0A39" w:rsidRDefault="005B0A39" w14:paraId="73AC24FF" w14:textId="2729199F">
      <w:pPr>
        <w:pStyle w:val="Para0"/>
      </w:pPr>
      <w:r w:rsidRPr="00832509">
        <w:rPr>
          <w:b/>
          <w:bCs/>
        </w:rPr>
        <w:t xml:space="preserve">The body/committee responsible for public service improvement varies in countries, both in relation to the actors involved as well as the </w:t>
      </w:r>
      <w:r w:rsidRPr="00832509" w:rsidR="006B73D2">
        <w:rPr>
          <w:b/>
          <w:bCs/>
        </w:rPr>
        <w:t>responsibilities of the bodies/committees.</w:t>
      </w:r>
      <w:r w:rsidRPr="00580E55" w:rsidR="006B73D2">
        <w:t xml:space="preserve"> </w:t>
      </w:r>
      <w:r w:rsidR="005A12D5">
        <w:t>For instance, i</w:t>
      </w:r>
      <w:r w:rsidRPr="00580E55" w:rsidR="00B227DE">
        <w:t>n</w:t>
      </w:r>
      <w:r w:rsidRPr="00580E55" w:rsidR="00F81270">
        <w:t xml:space="preserve"> Austria, the Committee of the Federal Government, the Lander, Cities and Municipalities ensured cross-organisational cooperation in the e-government</w:t>
      </w:r>
      <w:r w:rsidRPr="00580E55" w:rsidR="00580E55">
        <w:t xml:space="preserve"> sector (</w:t>
      </w:r>
      <w:r w:rsidRPr="00580E55" w:rsidR="00580E55">
        <w:fldChar w:fldCharType="begin"/>
      </w:r>
      <w:r w:rsidRPr="00580E55" w:rsidR="00580E55">
        <w:instrText xml:space="preserve"> REF _Ref215515427 \h </w:instrText>
      </w:r>
      <w:r w:rsidR="00580E55">
        <w:instrText xml:space="preserve"> \* MERGEFORMAT </w:instrText>
      </w:r>
      <w:r w:rsidRPr="00580E55" w:rsidR="00580E55">
        <w:fldChar w:fldCharType="separate"/>
      </w:r>
      <w:r w:rsidRPr="00B44A50" w:rsidR="00543B3D">
        <w:t>Box</w:t>
      </w:r>
      <w:r w:rsidR="00543B3D">
        <w:t> 3.3</w:t>
      </w:r>
      <w:r w:rsidRPr="00580E55" w:rsidR="00580E55">
        <w:fldChar w:fldCharType="end"/>
      </w:r>
      <w:r w:rsidRPr="00580E55" w:rsidR="00580E55">
        <w:t xml:space="preserve">).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FE4838" w14:paraId="3E09E6CA"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FE4838" w:rsidRDefault="002A44FC" w14:paraId="3C0CC589" w14:textId="638F41F5">
            <w:pPr>
              <w:pStyle w:val="Caption"/>
            </w:pPr>
            <w:bookmarkStart w:name="_Ref215515427" w:id="89"/>
            <w:bookmarkStart w:name="_Toc223413807" w:id="90"/>
            <w:r>
              <w:rPr>
                <w:noProof/>
              </w:rPr>
              <w:drawing>
                <wp:anchor distT="0" distB="0" distL="114300" distR="114300" simplePos="0" relativeHeight="251658282" behindDoc="1" locked="0" layoutInCell="1" allowOverlap="1" wp14:anchorId="558C43C5" wp14:editId="5B10D2E0">
                  <wp:simplePos x="0" y="0"/>
                  <wp:positionH relativeFrom="column">
                    <wp:posOffset>4803140</wp:posOffset>
                  </wp:positionH>
                  <wp:positionV relativeFrom="paragraph">
                    <wp:posOffset>85627</wp:posOffset>
                  </wp:positionV>
                  <wp:extent cx="810001" cy="540000"/>
                  <wp:effectExtent l="0" t="0" r="9525" b="0"/>
                  <wp:wrapTight wrapText="bothSides">
                    <wp:wrapPolygon edited="0">
                      <wp:start x="0" y="0"/>
                      <wp:lineTo x="0" y="20584"/>
                      <wp:lineTo x="21346" y="20584"/>
                      <wp:lineTo x="21346" y="0"/>
                      <wp:lineTo x="0" y="0"/>
                    </wp:wrapPolygon>
                  </wp:wrapTight>
                  <wp:docPr id="4337470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747011" name="Picture 7"/>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10001"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4A50" w:rsidR="00FE4838">
              <w:t>Box</w:t>
            </w:r>
            <w:r w:rsidR="00FE4838">
              <w:t> </w:t>
            </w:r>
            <w:r w:rsidR="00FE4838">
              <w:rPr>
                <w:noProof/>
              </w:rPr>
              <w:fldChar w:fldCharType="begin"/>
            </w:r>
            <w:r w:rsidR="00FE4838">
              <w:rPr>
                <w:noProof/>
              </w:rPr>
              <w:instrText xml:space="preserve"> STYLEREF 1 \s </w:instrText>
            </w:r>
            <w:r w:rsidR="00FE4838">
              <w:rPr>
                <w:noProof/>
              </w:rPr>
              <w:fldChar w:fldCharType="separate"/>
            </w:r>
            <w:r w:rsidR="00543B3D">
              <w:rPr>
                <w:noProof/>
              </w:rPr>
              <w:t>3</w:t>
            </w:r>
            <w:r w:rsidR="00FE4838">
              <w:rPr>
                <w:noProof/>
              </w:rPr>
              <w:fldChar w:fldCharType="end"/>
            </w:r>
            <w:r w:rsidR="00FE4838">
              <w:t>.</w:t>
            </w:r>
            <w:r w:rsidR="00FE4838">
              <w:rPr>
                <w:noProof/>
              </w:rPr>
              <w:fldChar w:fldCharType="begin"/>
            </w:r>
            <w:r w:rsidR="00FE4838">
              <w:rPr>
                <w:noProof/>
              </w:rPr>
              <w:instrText xml:space="preserve"> SEQ Box \* ARABIC \s 1 </w:instrText>
            </w:r>
            <w:r w:rsidR="00FE4838">
              <w:rPr>
                <w:noProof/>
              </w:rPr>
              <w:fldChar w:fldCharType="separate"/>
            </w:r>
            <w:r w:rsidR="00543B3D">
              <w:rPr>
                <w:noProof/>
              </w:rPr>
              <w:t>3</w:t>
            </w:r>
            <w:r w:rsidR="00FE4838">
              <w:rPr>
                <w:noProof/>
              </w:rPr>
              <w:fldChar w:fldCharType="end"/>
            </w:r>
            <w:bookmarkEnd w:id="89"/>
            <w:r w:rsidR="00FE4838">
              <w:t>. Austri</w:t>
            </w:r>
            <w:r w:rsidR="00A40062">
              <w:t xml:space="preserve">a - </w:t>
            </w:r>
            <w:r w:rsidR="00FE4838">
              <w:t xml:space="preserve">Committee of the Federal Government, </w:t>
            </w:r>
            <w:r w:rsidRPr="00182016" w:rsidR="00FE4838">
              <w:t>the Länder, Cities and Municipalities</w:t>
            </w:r>
            <w:bookmarkEnd w:id="90"/>
          </w:p>
          <w:p w:rsidRPr="00DF2D8F" w:rsidR="002A44FC" w:rsidP="007D1EFC" w:rsidRDefault="002A44FC" w14:paraId="7A31E4D0" w14:textId="146CE808">
            <w:pPr>
              <w:pStyle w:val="BoxHeading2"/>
              <w:jc w:val="both"/>
              <w:rPr>
                <w:rFonts w:asciiTheme="minorHAnsi" w:hAnsiTheme="minorHAnsi"/>
                <w:b w:val="0"/>
                <w:i w:val="0"/>
                <w:sz w:val="20"/>
              </w:rPr>
            </w:pPr>
            <w:r w:rsidRPr="00832509">
              <w:rPr>
                <w:rFonts w:asciiTheme="minorHAnsi" w:hAnsiTheme="minorHAnsi"/>
                <w:bCs/>
                <w:i w:val="0"/>
                <w:sz w:val="20"/>
              </w:rPr>
              <w:t>Austria</w:t>
            </w:r>
            <w:r w:rsidRPr="00DF2D8F">
              <w:rPr>
                <w:rFonts w:asciiTheme="minorHAnsi" w:hAnsiTheme="minorHAnsi"/>
                <w:b w:val="0"/>
                <w:i w:val="0"/>
                <w:sz w:val="20"/>
              </w:rPr>
              <w:t>’s Committee of the Federal Government, the Länder, Cities and Municipalities</w:t>
            </w:r>
            <w:r w:rsidR="00580E55">
              <w:rPr>
                <w:rFonts w:asciiTheme="minorHAnsi" w:hAnsiTheme="minorHAnsi"/>
                <w:b w:val="0"/>
                <w:i w:val="0"/>
                <w:sz w:val="20"/>
              </w:rPr>
              <w:t xml:space="preserve"> (BLSG)</w:t>
            </w:r>
            <w:r w:rsidRPr="00DF2D8F">
              <w:rPr>
                <w:rFonts w:asciiTheme="minorHAnsi" w:hAnsiTheme="minorHAnsi"/>
                <w:b w:val="0"/>
                <w:i w:val="0"/>
                <w:sz w:val="20"/>
              </w:rPr>
              <w:t xml:space="preserve"> ensures cross-organisational, partnership-based co-operation in the e-government sector </w:t>
            </w:r>
            <w:sdt>
              <w:sdtPr>
                <w:rPr>
                  <w:rFonts w:asciiTheme="minorHAnsi" w:hAnsiTheme="minorHAnsi"/>
                  <w:b w:val="0"/>
                  <w:i w:val="0"/>
                  <w:sz w:val="20"/>
                </w:rPr>
                <w:id w:val="-1394044723"/>
                <w:citation/>
              </w:sdtPr>
              <w:sdtEndPr/>
              <w:sdtContent>
                <w:r w:rsidRPr="005A12D5" w:rsidR="005A12D5">
                  <w:rPr>
                    <w:rFonts w:asciiTheme="minorHAnsi" w:hAnsiTheme="minorHAnsi"/>
                    <w:b w:val="0"/>
                    <w:i w:val="0"/>
                    <w:sz w:val="20"/>
                  </w:rPr>
                  <w:fldChar w:fldCharType="begin"/>
                </w:r>
                <w:r w:rsidRPr="00832509" w:rsidR="005A12D5">
                  <w:rPr>
                    <w:rFonts w:asciiTheme="minorHAnsi" w:hAnsiTheme="minorHAnsi"/>
                    <w:b w:val="0"/>
                    <w:i w:val="0"/>
                    <w:sz w:val="20"/>
                  </w:rPr>
                  <w:instrText xml:space="preserve"> CITATION Mend_OXJlhaQL4TGA65nZ__bACwQ \l 1036 </w:instrText>
                </w:r>
                <w:r w:rsidRPr="005A12D5" w:rsidR="005A12D5">
                  <w:rPr>
                    <w:rFonts w:asciiTheme="minorHAnsi" w:hAnsiTheme="minorHAnsi"/>
                    <w:b w:val="0"/>
                    <w:i w:val="0"/>
                    <w:sz w:val="20"/>
                  </w:rPr>
                  <w:fldChar w:fldCharType="separate"/>
                </w:r>
                <w:r w:rsidRPr="00F86F21" w:rsidR="00F86F21">
                  <w:rPr>
                    <w:rFonts w:asciiTheme="minorHAnsi" w:hAnsiTheme="minorHAnsi"/>
                    <w:noProof/>
                    <w:sz w:val="20"/>
                  </w:rPr>
                  <w:t>(Digital Austria, 2025</w:t>
                </w:r>
                <w:r w:rsidRPr="00F86F21" w:rsidR="00F86F21">
                  <w:rPr>
                    <w:rFonts w:asciiTheme="minorHAnsi" w:hAnsiTheme="minorHAnsi"/>
                    <w:noProof/>
                    <w:sz w:val="20"/>
                    <w:vertAlign w:val="subscript"/>
                  </w:rPr>
                  <w:t>[18]</w:t>
                </w:r>
                <w:r w:rsidRPr="00F86F21" w:rsidR="00F86F21">
                  <w:rPr>
                    <w:rFonts w:asciiTheme="minorHAnsi" w:hAnsiTheme="minorHAnsi"/>
                    <w:noProof/>
                    <w:sz w:val="20"/>
                  </w:rPr>
                  <w:t>)</w:t>
                </w:r>
                <w:r w:rsidRPr="005A12D5" w:rsidR="005A12D5">
                  <w:rPr>
                    <w:rFonts w:asciiTheme="minorHAnsi" w:hAnsiTheme="minorHAnsi"/>
                    <w:b w:val="0"/>
                    <w:i w:val="0"/>
                    <w:sz w:val="20"/>
                  </w:rPr>
                  <w:fldChar w:fldCharType="end"/>
                </w:r>
              </w:sdtContent>
            </w:sdt>
            <w:r w:rsidRPr="00DF2D8F">
              <w:rPr>
                <w:rFonts w:asciiTheme="minorHAnsi" w:hAnsiTheme="minorHAnsi"/>
                <w:b w:val="0"/>
                <w:i w:val="0"/>
                <w:sz w:val="20"/>
              </w:rPr>
              <w:t>. It works according to jointly defined structures and processes.</w:t>
            </w:r>
          </w:p>
          <w:p w:rsidRPr="00832509" w:rsidR="0086096A" w:rsidP="0086096A" w:rsidRDefault="0086096A" w14:paraId="15D72261" w14:textId="0907AC6A">
            <w:pPr>
              <w:pStyle w:val="Para0"/>
              <w:rPr>
                <w:rFonts w:asciiTheme="majorHAnsi" w:hAnsiTheme="majorHAnsi"/>
                <w:sz w:val="22"/>
                <w:szCs w:val="24"/>
                <w:lang w:val="de-AT"/>
              </w:rPr>
            </w:pPr>
            <w:r w:rsidRPr="00DF2D8F">
              <w:t xml:space="preserve">BLSG platform is the main coordination group for both strategic and operational aspects in relation to the Digital strategy, chaired by the </w:t>
            </w:r>
            <w:r w:rsidRPr="00DF2D8F" w:rsidR="004E17EB">
              <w:t>Bundeskanzleramt</w:t>
            </w:r>
            <w:r w:rsidR="004E17EB">
              <w:t xml:space="preserve"> (</w:t>
            </w:r>
            <w:r w:rsidRPr="00DF2D8F">
              <w:t>BKA</w:t>
            </w:r>
            <w:r w:rsidR="004E17EB">
              <w:t xml:space="preserve">), </w:t>
            </w:r>
            <w:r w:rsidRPr="00DF2D8F" w:rsidR="004E17EB">
              <w:t xml:space="preserve">Austria’s </w:t>
            </w:r>
            <w:r w:rsidR="004E17EB">
              <w:t xml:space="preserve">centre of government organ, </w:t>
            </w:r>
            <w:r w:rsidRPr="00DF2D8F">
              <w:t xml:space="preserve">and gathering both federal and sub-national levels of government. Since </w:t>
            </w:r>
            <w:r w:rsidR="004E17EB">
              <w:t>public services</w:t>
            </w:r>
            <w:r w:rsidRPr="00DF2D8F" w:rsidR="004E17EB">
              <w:t xml:space="preserve"> </w:t>
            </w:r>
            <w:r w:rsidRPr="00DF2D8F">
              <w:t xml:space="preserve">improvement is part of this strategy, they are the ones overseeing this matter as well. </w:t>
            </w:r>
            <w:r w:rsidRPr="00832509">
              <w:rPr>
                <w:lang w:val="de-AT"/>
              </w:rPr>
              <w:t xml:space="preserve">The IKT-Bund is a subordinate body to the BLSG: </w:t>
            </w:r>
            <w:hyperlink w:history="1" r:id="rId64">
              <w:r w:rsidRPr="00832509">
                <w:rPr>
                  <w:color w:val="0000FF"/>
                  <w:u w:val="single"/>
                  <w:lang w:val="de-AT"/>
                </w:rPr>
                <w:t>Gremium Bund, Länder, Städte und Gemeinden (BLSG) und IKT-Bund - Digital Austria</w:t>
              </w:r>
            </w:hyperlink>
            <w:r w:rsidRPr="00832509">
              <w:rPr>
                <w:lang w:val="de-AT"/>
              </w:rPr>
              <w:t>.</w:t>
            </w:r>
          </w:p>
          <w:p w:rsidRPr="0086096A" w:rsidR="0086096A" w:rsidP="0086096A" w:rsidRDefault="0086096A" w14:paraId="794EA0AD" w14:textId="4781048C">
            <w:pPr>
              <w:pStyle w:val="Para0"/>
              <w:rPr>
                <w:rFonts w:asciiTheme="majorHAnsi" w:hAnsiTheme="majorHAnsi"/>
                <w:sz w:val="22"/>
                <w:szCs w:val="24"/>
                <w:lang w:val="en-US"/>
              </w:rPr>
            </w:pPr>
            <w:r w:rsidRPr="00DF2D8F">
              <w:t>Finally, the digital section of the BKA, is the main coordination player in relation to Austria’s e-government strategy (</w:t>
            </w:r>
            <w:hyperlink w:history="1" r:id="rId65">
              <w:r w:rsidRPr="00DF2D8F">
                <w:rPr>
                  <w:color w:val="0000FF"/>
                  <w:u w:val="single"/>
                </w:rPr>
                <w:t>Digital Austria</w:t>
              </w:r>
            </w:hyperlink>
            <w:r w:rsidRPr="00DF2D8F">
              <w:t xml:space="preserve">). </w:t>
            </w:r>
            <w:r w:rsidRPr="007D1EFC">
              <w:t xml:space="preserve">It is complemented by </w:t>
            </w:r>
            <w:r w:rsidRPr="007D1EFC">
              <w:rPr>
                <w:b/>
              </w:rPr>
              <w:t>chief digital officers</w:t>
            </w:r>
            <w:r w:rsidRPr="007D1EFC">
              <w:t xml:space="preserve"> (CDOs) in each line ministry, convening on a quarterly basis in a </w:t>
            </w:r>
            <w:r w:rsidRPr="007D1EFC">
              <w:rPr>
                <w:b/>
              </w:rPr>
              <w:t>CDO taskforce</w:t>
            </w:r>
            <w:r w:rsidRPr="007D1EFC">
              <w:t xml:space="preserve"> at the federal level, and tasked with the steering and implementation of the strategy.</w:t>
            </w:r>
            <w:r w:rsidRPr="0086096A">
              <w:rPr>
                <w:rFonts w:asciiTheme="majorHAnsi" w:hAnsiTheme="majorHAnsi"/>
                <w:sz w:val="22"/>
                <w:szCs w:val="24"/>
                <w:lang w:val="en-US"/>
              </w:rPr>
              <w:t xml:space="preserve"> </w:t>
            </w:r>
          </w:p>
          <w:p w:rsidR="00FE4838" w:rsidRDefault="00857EBC" w14:paraId="2572A057" w14:textId="0204C9A5">
            <w:pPr>
              <w:pStyle w:val="Sourcenotes"/>
            </w:pPr>
            <w:r>
              <w:rPr>
                <w:noProof/>
              </w:rPr>
              <w:drawing>
                <wp:anchor distT="0" distB="0" distL="114300" distR="114300" simplePos="0" relativeHeight="251658291" behindDoc="1" locked="0" layoutInCell="1" allowOverlap="1" wp14:anchorId="37A14833" wp14:editId="1C0A920D">
                  <wp:simplePos x="0" y="0"/>
                  <wp:positionH relativeFrom="column">
                    <wp:posOffset>-76835</wp:posOffset>
                  </wp:positionH>
                  <wp:positionV relativeFrom="paragraph">
                    <wp:posOffset>54610</wp:posOffset>
                  </wp:positionV>
                  <wp:extent cx="914400" cy="914400"/>
                  <wp:effectExtent l="0" t="0" r="0" b="0"/>
                  <wp:wrapTight wrapText="bothSides">
                    <wp:wrapPolygon edited="0">
                      <wp:start x="9000" y="1800"/>
                      <wp:lineTo x="2700" y="4500"/>
                      <wp:lineTo x="450" y="6750"/>
                      <wp:lineTo x="450" y="17100"/>
                      <wp:lineTo x="1350" y="19350"/>
                      <wp:lineTo x="19800" y="19350"/>
                      <wp:lineTo x="20700" y="17100"/>
                      <wp:lineTo x="21150" y="6750"/>
                      <wp:lineTo x="18900" y="4950"/>
                      <wp:lineTo x="12150" y="1800"/>
                      <wp:lineTo x="9000" y="1800"/>
                    </wp:wrapPolygon>
                  </wp:wrapTight>
                  <wp:docPr id="1527788998" name="Graphic 3" descr="Employee badg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788998" name="Graphic 1527788998" descr="Employee badge with solid fill"/>
                          <pic:cNvPicPr/>
                        </pic:nvPicPr>
                        <pic:blipFill>
                          <a:blip r:embed="rId47">
                            <a:extLst>
                              <a:ext uri="{96DAC541-7B7A-43D3-8B79-37D633B846F1}">
                                <asvg:svgBlip xmlns:asvg="http://schemas.microsoft.com/office/drawing/2016/SVG/main" r:embed="rId48"/>
                              </a:ext>
                            </a:extLst>
                          </a:blip>
                          <a:stretch>
                            <a:fillRect/>
                          </a:stretch>
                        </pic:blipFill>
                        <pic:spPr>
                          <a:xfrm>
                            <a:off x="0" y="0"/>
                            <a:ext cx="914400" cy="914400"/>
                          </a:xfrm>
                          <a:prstGeom prst="rect">
                            <a:avLst/>
                          </a:prstGeom>
                        </pic:spPr>
                      </pic:pic>
                    </a:graphicData>
                  </a:graphic>
                </wp:anchor>
              </w:drawing>
            </w:r>
            <w:r w:rsidR="00FE4838">
              <w:t xml:space="preserve">Source: </w:t>
            </w:r>
            <w:r w:rsidR="00883CB0">
              <w:t>Data collected through TSI Country Mission to Austria, June 2025</w:t>
            </w:r>
          </w:p>
          <w:p w:rsidRPr="00857EBC" w:rsidR="00F5062A" w:rsidP="00857EBC" w:rsidRDefault="00F5062A" w14:paraId="51EF06BF" w14:textId="3B9845B4">
            <w:pPr>
              <w:pStyle w:val="Para0"/>
            </w:pPr>
            <w:r w:rsidRPr="00857EBC">
              <w:t xml:space="preserve">An example of cross-cooperation can be seen in Austria through </w:t>
            </w:r>
            <w:r w:rsidRPr="00857EBC" w:rsidR="00857EBC">
              <w:t xml:space="preserve">coordination of passport issuance. </w:t>
            </w:r>
            <w:r w:rsidRPr="00857EBC">
              <w:t>As a federal country, Austria must pay close attention to co-ordination across levels of government. The highest satisfaction in the country is with passport issuance, with around 64% satisfied. This is despite the fact that applications can only be done in person due to legal obligations: fingerprints must be taken but cannot be stored by government due to privacy concerns. Instead, users make an appointment at their municipality, which is in charge of passport issuance. Appointments are easily available, often without appointment. The applicant needs to be identified by the officer in charge, who oversees the formalities of the application. The municipality then manages the process of interaction with the passport office in central government for issue of the new passport. The main learning is that a simple front-end process, with an integrated back-office system across levels of government, results in high satisfaction. </w:t>
            </w:r>
          </w:p>
          <w:p w:rsidRPr="00775FF9" w:rsidR="00F5062A" w:rsidP="00F5062A" w:rsidRDefault="00F5062A" w14:paraId="7A62DECA" w14:textId="3A39FB30">
            <w:pPr>
              <w:pStyle w:val="Sourcenotes"/>
            </w:pPr>
            <w:r>
              <w:t xml:space="preserve">Source: </w:t>
            </w:r>
            <w:r w:rsidRPr="001A57D8" w:rsidR="006709C4">
              <w:t xml:space="preserve">Data collected through TSI Country Mission in </w:t>
            </w:r>
            <w:r w:rsidR="006709C4">
              <w:t>Austria</w:t>
            </w:r>
            <w:r w:rsidRPr="001A57D8" w:rsidR="006709C4">
              <w:t>, 2025</w:t>
            </w:r>
            <w:r w:rsidR="006709C4">
              <w:t xml:space="preserve">; </w:t>
            </w:r>
            <w:sdt>
              <w:sdtPr>
                <w:id w:val="1924376775"/>
                <w:citation/>
              </w:sdtPr>
              <w:sdtEndPr/>
              <w:sdtContent>
                <w:r>
                  <w:fldChar w:fldCharType="begin"/>
                </w:r>
                <w:r>
                  <w:instrText xml:space="preserve"> CITATION Mend_dskZclbaZDKSo10eG7pJlQ \l 2057 </w:instrText>
                </w:r>
                <w:r>
                  <w:fldChar w:fldCharType="separate"/>
                </w:r>
                <w:r w:rsidRPr="00F86F21" w:rsidR="00F86F21">
                  <w:rPr>
                    <w:noProof/>
                  </w:rPr>
                  <w:t>(</w:t>
                </w:r>
                <w:bookmarkStart w:name="Mend_dskZclbaZDKSo10eG7pJlQ_19" w:id="91"/>
                <w:r w:rsidRPr="00F86F21" w:rsidR="00F86F21">
                  <w:rPr>
                    <w:noProof/>
                  </w:rPr>
                  <w:t>Ministry of Smart Administration and Regional Development, 2025</w:t>
                </w:r>
                <w:r w:rsidRPr="00F86F21" w:rsidR="00F86F21">
                  <w:rPr>
                    <w:noProof/>
                    <w:vertAlign w:val="subscript"/>
                  </w:rPr>
                  <w:t>[19]</w:t>
                </w:r>
                <w:r w:rsidRPr="00F86F21" w:rsidR="00F86F21">
                  <w:rPr>
                    <w:noProof/>
                  </w:rPr>
                  <w:t>)</w:t>
                </w:r>
                <w:bookmarkEnd w:id="91"/>
                <w:r>
                  <w:fldChar w:fldCharType="end"/>
                </w:r>
              </w:sdtContent>
            </w:sdt>
            <w:r w:rsidR="006709C4">
              <w:t>.</w:t>
            </w:r>
          </w:p>
        </w:tc>
      </w:tr>
    </w:tbl>
    <w:p w:rsidRPr="00C065BC" w:rsidR="00D075AB" w:rsidP="005B0A39" w:rsidRDefault="00C065BC" w14:paraId="4A32F687" w14:textId="354EE5A4">
      <w:pPr>
        <w:pStyle w:val="Para0"/>
      </w:pPr>
      <w:r>
        <w:t xml:space="preserve">In Spain, </w:t>
      </w:r>
      <w:r w:rsidR="00B2506D">
        <w:t>a Departmental Services Inspectorate has been created to support cross-Ministerial/Agency cooperation for the development of public services (</w:t>
      </w:r>
      <w:r w:rsidR="001A57D8">
        <w:fldChar w:fldCharType="begin"/>
      </w:r>
      <w:r w:rsidR="001A57D8">
        <w:instrText xml:space="preserve"> REF _Ref215515562 \h </w:instrText>
      </w:r>
      <w:r w:rsidR="001A57D8">
        <w:fldChar w:fldCharType="separate"/>
      </w:r>
      <w:r w:rsidRPr="00B44A50" w:rsidR="00543B3D">
        <w:t>Box</w:t>
      </w:r>
      <w:r w:rsidR="00543B3D">
        <w:t> </w:t>
      </w:r>
      <w:r w:rsidR="00543B3D">
        <w:rPr>
          <w:noProof/>
        </w:rPr>
        <w:t>3</w:t>
      </w:r>
      <w:r w:rsidR="00543B3D">
        <w:t>.</w:t>
      </w:r>
      <w:r w:rsidR="00543B3D">
        <w:rPr>
          <w:noProof/>
        </w:rPr>
        <w:t>4</w:t>
      </w:r>
      <w:r w:rsidR="001A57D8">
        <w:fldChar w:fldCharType="end"/>
      </w:r>
      <w:r w:rsidR="001A57D8">
        <w:t>)</w:t>
      </w:r>
      <w:r w:rsidR="00883CB0">
        <w:t>. A similar governance structure supporting cross-Departmental cooperation and alignment of priorities has been developed through the Public Service Leadership Board in Ireland (</w:t>
      </w:r>
      <w:r w:rsidR="00883CB0">
        <w:fldChar w:fldCharType="begin"/>
      </w:r>
      <w:r w:rsidR="00883CB0">
        <w:instrText xml:space="preserve"> REF _Ref215515828 \h </w:instrText>
      </w:r>
      <w:r w:rsidR="00883CB0">
        <w:fldChar w:fldCharType="separate"/>
      </w:r>
      <w:r w:rsidRPr="00B44A50" w:rsidR="00543B3D">
        <w:t>Box</w:t>
      </w:r>
      <w:r w:rsidR="00543B3D">
        <w:t> </w:t>
      </w:r>
      <w:r w:rsidR="00543B3D">
        <w:rPr>
          <w:noProof/>
        </w:rPr>
        <w:t>3</w:t>
      </w:r>
      <w:r w:rsidR="00543B3D">
        <w:t>.</w:t>
      </w:r>
      <w:r w:rsidR="00543B3D">
        <w:rPr>
          <w:noProof/>
        </w:rPr>
        <w:t>5</w:t>
      </w:r>
      <w:r w:rsidR="00883CB0">
        <w:fldChar w:fldCharType="end"/>
      </w:r>
      <w:r w:rsidR="00883CB0">
        <w:t>)</w:t>
      </w:r>
      <w:r w:rsidR="00F70B48">
        <w:t xml:space="preserve">, while </w:t>
      </w:r>
      <w:r w:rsidRPr="00F70B48" w:rsidR="00F70B48">
        <w:t>Latvia</w:t>
      </w:r>
      <w:r w:rsidR="00F70B48">
        <w:t xml:space="preserve"> ha</w:t>
      </w:r>
      <w:r w:rsidRPr="00F70B48" w:rsidR="00F70B48">
        <w:t xml:space="preserve">s </w:t>
      </w:r>
      <w:r w:rsidR="00F70B48">
        <w:t xml:space="preserve">set up </w:t>
      </w:r>
      <w:r w:rsidRPr="00F70B48" w:rsidR="00F70B48">
        <w:t>one-stop-shops for state and municipal services</w:t>
      </w:r>
      <w:r w:rsidR="00F70B48">
        <w:t xml:space="preserve"> (</w:t>
      </w:r>
      <w:r w:rsidR="00F70B48">
        <w:fldChar w:fldCharType="begin"/>
      </w:r>
      <w:r w:rsidR="00F70B48">
        <w:instrText xml:space="preserve"> REF _Ref223365588 \h </w:instrText>
      </w:r>
      <w:r w:rsidR="00F70B48">
        <w:fldChar w:fldCharType="separate"/>
      </w:r>
      <w:r w:rsidRPr="00B44A50" w:rsidR="00543B3D">
        <w:t>Box</w:t>
      </w:r>
      <w:r w:rsidR="00543B3D">
        <w:t> </w:t>
      </w:r>
      <w:r w:rsidR="00543B3D">
        <w:rPr>
          <w:noProof/>
        </w:rPr>
        <w:t>3</w:t>
      </w:r>
      <w:r w:rsidR="00543B3D">
        <w:t>.</w:t>
      </w:r>
      <w:r w:rsidR="00543B3D">
        <w:rPr>
          <w:noProof/>
        </w:rPr>
        <w:t>6</w:t>
      </w:r>
      <w:r w:rsidR="00F70B48">
        <w:fldChar w:fldCharType="end"/>
      </w:r>
      <w:r w:rsidR="00F70B48">
        <w:t>).</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86096A" w14:paraId="067CAAAB"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667C75" w:rsidP="00667C75" w:rsidRDefault="0086096A" w14:paraId="07513DB9" w14:textId="7741703A">
            <w:pPr>
              <w:pStyle w:val="Caption"/>
            </w:pPr>
            <w:bookmarkStart w:name="_Ref215515562" w:id="92"/>
            <w:bookmarkStart w:name="_Toc223413808" w:id="93"/>
            <w:r>
              <w:rPr>
                <w:noProof/>
              </w:rPr>
              <w:drawing>
                <wp:anchor distT="0" distB="0" distL="114300" distR="114300" simplePos="0" relativeHeight="251658283" behindDoc="1" locked="0" layoutInCell="1" allowOverlap="1" wp14:anchorId="572DCE9C" wp14:editId="1A7BFF30">
                  <wp:simplePos x="0" y="0"/>
                  <wp:positionH relativeFrom="column">
                    <wp:posOffset>4755564</wp:posOffset>
                  </wp:positionH>
                  <wp:positionV relativeFrom="paragraph">
                    <wp:posOffset>102479</wp:posOffset>
                  </wp:positionV>
                  <wp:extent cx="974725" cy="648335"/>
                  <wp:effectExtent l="0" t="0" r="0" b="0"/>
                  <wp:wrapTight wrapText="bothSides">
                    <wp:wrapPolygon edited="0">
                      <wp:start x="0" y="0"/>
                      <wp:lineTo x="0" y="20944"/>
                      <wp:lineTo x="21107" y="20944"/>
                      <wp:lineTo x="21107" y="0"/>
                      <wp:lineTo x="0" y="0"/>
                    </wp:wrapPolygon>
                  </wp:wrapTight>
                  <wp:docPr id="920208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29264"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974725" cy="648335"/>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4</w:t>
            </w:r>
            <w:r>
              <w:rPr>
                <w:noProof/>
              </w:rPr>
              <w:fldChar w:fldCharType="end"/>
            </w:r>
            <w:bookmarkEnd w:id="92"/>
            <w:r>
              <w:t>.</w:t>
            </w:r>
            <w:r w:rsidR="00A40062">
              <w:t xml:space="preserve"> Spain - </w:t>
            </w:r>
            <w:r w:rsidR="00667C75">
              <w:t>Initiatives to enhance coordination of services through the Inspecciones Departmantales de Servicios</w:t>
            </w:r>
            <w:bookmarkEnd w:id="93"/>
            <w:r w:rsidR="00667C75">
              <w:t xml:space="preserve"> </w:t>
            </w:r>
          </w:p>
          <w:p w:rsidR="00667C75" w:rsidP="00667C75" w:rsidRDefault="00667C75" w14:paraId="355F845C" w14:textId="0C4BB636">
            <w:pPr>
              <w:pStyle w:val="Para0"/>
            </w:pPr>
            <w:r>
              <w:t xml:space="preserve">In </w:t>
            </w:r>
            <w:r w:rsidRPr="00832509">
              <w:rPr>
                <w:b/>
                <w:bCs/>
              </w:rPr>
              <w:t>Spain</w:t>
            </w:r>
            <w:r>
              <w:t xml:space="preserve">, the </w:t>
            </w:r>
            <w:r>
              <w:rPr>
                <w:i/>
                <w:iCs/>
              </w:rPr>
              <w:t>Inspecciones Departmantales de Servicios</w:t>
            </w:r>
            <w:r>
              <w:t xml:space="preserve"> aims to ensure cross-Ministerial/Agency cooperation the oversee the improvement of public administrative services. The main responsibilities include: (i) leading the development of government-wide strategies for improvement public administrative services</w:t>
            </w:r>
            <w:r w:rsidR="00D57F45">
              <w:t>,</w:t>
            </w:r>
            <w:r>
              <w:t xml:space="preserve"> (ii) enabling coordination between ministries/agencies delivering public services</w:t>
            </w:r>
            <w:r w:rsidR="00D57F45">
              <w:t>,</w:t>
            </w:r>
            <w:r>
              <w:t xml:space="preserve"> (iii) proposing and initiating simplification of services that involve more than one ministry</w:t>
            </w:r>
            <w:r w:rsidR="00D57F45">
              <w:t xml:space="preserve"> or</w:t>
            </w:r>
            <w:r>
              <w:t xml:space="preserve"> agency</w:t>
            </w:r>
            <w:r w:rsidR="00D57F45">
              <w:t>,</w:t>
            </w:r>
            <w:r>
              <w:t xml:space="preserve"> (iv) integrating services commonly used together during Life Events</w:t>
            </w:r>
            <w:r w:rsidR="00D57F45">
              <w:t>,</w:t>
            </w:r>
            <w:r>
              <w:t xml:space="preserve"> (v) approving methodology or guidance for setting service standards</w:t>
            </w:r>
            <w:r w:rsidR="00D57F45">
              <w:t>,</w:t>
            </w:r>
            <w:r>
              <w:t xml:space="preserve"> (vi) approving methodology or guidance for measuring citizen and business satisfaction with public administrative services</w:t>
            </w:r>
            <w:r w:rsidR="00D57F45">
              <w:t>,</w:t>
            </w:r>
            <w:r>
              <w:t xml:space="preserve"> (vii) collecting and publishing information about performance and satisfaction with public administrative services</w:t>
            </w:r>
            <w:r w:rsidR="00D57F45">
              <w:t>, and</w:t>
            </w:r>
            <w:r>
              <w:t xml:space="preserve"> (viii) monitoring the implementation of the government-wide strategy for improving public administrative services. </w:t>
            </w:r>
          </w:p>
          <w:p w:rsidRPr="00883CB0" w:rsidR="0013568E" w:rsidP="0013568E" w:rsidRDefault="00667C75" w14:paraId="7AC1C40D" w14:textId="61423C72">
            <w:pPr>
              <w:pStyle w:val="Sourcenotes"/>
              <w:rPr>
                <w:rFonts w:asciiTheme="minorHAnsi" w:hAnsiTheme="minorHAnsi"/>
                <w:b/>
                <w:bCs/>
                <w:sz w:val="20"/>
              </w:rPr>
            </w:pPr>
            <w:r w:rsidRPr="0013568E">
              <w:rPr>
                <w:rFonts w:asciiTheme="minorHAnsi" w:hAnsiTheme="minorHAnsi"/>
                <w:sz w:val="20"/>
              </w:rPr>
              <w:t xml:space="preserve">In addition to the above responsibilities, the Inspectorate </w:t>
            </w:r>
            <w:r w:rsidRPr="00883CB0">
              <w:rPr>
                <w:rFonts w:asciiTheme="minorHAnsi" w:hAnsiTheme="minorHAnsi"/>
                <w:b/>
                <w:bCs/>
                <w:sz w:val="20"/>
              </w:rPr>
              <w:t xml:space="preserve">organises Awards to recognise best practices in terms of quality management, excellence, innovation and human-centred services within the Public Sector. </w:t>
            </w:r>
          </w:p>
          <w:p w:rsidRPr="0013568E" w:rsidR="0013568E" w:rsidP="0013568E" w:rsidRDefault="0013568E" w14:paraId="6E58B74D" w14:textId="77777777">
            <w:pPr>
              <w:pStyle w:val="Sourcenotes"/>
              <w:rPr>
                <w:rFonts w:asciiTheme="minorHAnsi" w:hAnsiTheme="minorHAnsi"/>
                <w:sz w:val="20"/>
              </w:rPr>
            </w:pPr>
          </w:p>
          <w:p w:rsidRPr="00775FF9" w:rsidR="0086096A" w:rsidP="00667C75" w:rsidRDefault="0086096A" w14:paraId="79ECA4D6" w14:textId="39A851F2">
            <w:pPr>
              <w:pStyle w:val="Sourcenotes"/>
            </w:pPr>
            <w:r w:rsidRPr="001A57D8">
              <w:t xml:space="preserve">Source: </w:t>
            </w:r>
            <w:r w:rsidRPr="001A57D8" w:rsidR="001A57D8">
              <w:t>Data collected through TSI Country Mission in Spain, March 2025</w:t>
            </w:r>
            <w:r w:rsidR="006709C4">
              <w:t>.</w:t>
            </w:r>
          </w:p>
        </w:tc>
      </w:tr>
    </w:tbl>
    <w:p w:rsidR="0086096A" w:rsidP="005B0A39" w:rsidRDefault="0086096A" w14:paraId="13A4BBC9" w14:textId="77777777">
      <w:pPr>
        <w:pStyle w:val="Para0"/>
        <w:rPr>
          <w:b/>
          <w:bCs/>
        </w:rPr>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86096A" w14:paraId="63D85E91"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86096A" w:rsidRDefault="00667C75" w14:paraId="2760A8BF" w14:textId="7469BEC6">
            <w:pPr>
              <w:pStyle w:val="Caption"/>
            </w:pPr>
            <w:bookmarkStart w:name="_Ref215515828" w:id="94"/>
            <w:bookmarkStart w:name="_Toc223413809" w:id="95"/>
            <w:r>
              <w:rPr>
                <w:noProof/>
              </w:rPr>
              <w:drawing>
                <wp:anchor distT="0" distB="0" distL="114300" distR="114300" simplePos="0" relativeHeight="251658284" behindDoc="1" locked="0" layoutInCell="1" allowOverlap="1" wp14:anchorId="3BE387BE" wp14:editId="3DB0F90E">
                  <wp:simplePos x="0" y="0"/>
                  <wp:positionH relativeFrom="column">
                    <wp:posOffset>4768313</wp:posOffset>
                  </wp:positionH>
                  <wp:positionV relativeFrom="paragraph">
                    <wp:posOffset>121920</wp:posOffset>
                  </wp:positionV>
                  <wp:extent cx="930303" cy="465152"/>
                  <wp:effectExtent l="0" t="0" r="3175" b="0"/>
                  <wp:wrapTight wrapText="bothSides">
                    <wp:wrapPolygon edited="0">
                      <wp:start x="0" y="0"/>
                      <wp:lineTo x="0" y="20361"/>
                      <wp:lineTo x="21231" y="20361"/>
                      <wp:lineTo x="21231" y="0"/>
                      <wp:lineTo x="0" y="0"/>
                    </wp:wrapPolygon>
                  </wp:wrapTight>
                  <wp:docPr id="64594176" name="Picture 1" descr="A flag of ireland with a white green and orange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87553" name="Picture 1" descr="A flag of ireland with a white green and orange stripe&#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30303" cy="4651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4A50" w:rsidR="0086096A">
              <w:t>Box</w:t>
            </w:r>
            <w:r w:rsidR="0086096A">
              <w:t> </w:t>
            </w:r>
            <w:r w:rsidR="0086096A">
              <w:rPr>
                <w:noProof/>
              </w:rPr>
              <w:fldChar w:fldCharType="begin"/>
            </w:r>
            <w:r w:rsidR="0086096A">
              <w:rPr>
                <w:noProof/>
              </w:rPr>
              <w:instrText xml:space="preserve"> STYLEREF 1 \s </w:instrText>
            </w:r>
            <w:r w:rsidR="0086096A">
              <w:rPr>
                <w:noProof/>
              </w:rPr>
              <w:fldChar w:fldCharType="separate"/>
            </w:r>
            <w:r w:rsidR="00543B3D">
              <w:rPr>
                <w:noProof/>
              </w:rPr>
              <w:t>3</w:t>
            </w:r>
            <w:r w:rsidR="0086096A">
              <w:rPr>
                <w:noProof/>
              </w:rPr>
              <w:fldChar w:fldCharType="end"/>
            </w:r>
            <w:r w:rsidR="0086096A">
              <w:t>.</w:t>
            </w:r>
            <w:r w:rsidR="0086096A">
              <w:rPr>
                <w:noProof/>
              </w:rPr>
              <w:fldChar w:fldCharType="begin"/>
            </w:r>
            <w:r w:rsidR="0086096A">
              <w:rPr>
                <w:noProof/>
              </w:rPr>
              <w:instrText xml:space="preserve"> SEQ Box \* ARABIC \s 1 </w:instrText>
            </w:r>
            <w:r w:rsidR="0086096A">
              <w:rPr>
                <w:noProof/>
              </w:rPr>
              <w:fldChar w:fldCharType="separate"/>
            </w:r>
            <w:r w:rsidR="00543B3D">
              <w:rPr>
                <w:noProof/>
              </w:rPr>
              <w:t>5</w:t>
            </w:r>
            <w:r w:rsidR="0086096A">
              <w:rPr>
                <w:noProof/>
              </w:rPr>
              <w:fldChar w:fldCharType="end"/>
            </w:r>
            <w:bookmarkEnd w:id="94"/>
            <w:r w:rsidR="0086096A">
              <w:t xml:space="preserve">. </w:t>
            </w:r>
            <w:r w:rsidR="00A40062">
              <w:t xml:space="preserve">Ireland - </w:t>
            </w:r>
            <w:r>
              <w:t>The Public Services Leadership Board</w:t>
            </w:r>
            <w:bookmarkEnd w:id="95"/>
            <w:r>
              <w:t xml:space="preserve"> </w:t>
            </w:r>
          </w:p>
          <w:p w:rsidR="00667C75" w:rsidP="00883CB0" w:rsidRDefault="00667C75" w14:paraId="78BBA3D7" w14:textId="03848669">
            <w:pPr>
              <w:pStyle w:val="Para0"/>
            </w:pPr>
            <w:r w:rsidRPr="0013568E">
              <w:t>The Public Service Leadership Board (PSLB)</w:t>
            </w:r>
            <w:r w:rsidR="00887D2F">
              <w:t xml:space="preserve"> is a high-level strategic body, established in 2018 in </w:t>
            </w:r>
            <w:r w:rsidRPr="00832509" w:rsidR="00887D2F">
              <w:rPr>
                <w:b/>
                <w:bCs/>
              </w:rPr>
              <w:t>Ireland</w:t>
            </w:r>
            <w:r w:rsidR="00887D2F">
              <w:t>. The PSLB</w:t>
            </w:r>
            <w:r w:rsidRPr="0013568E">
              <w:t xml:space="preserve"> provides collective and collaborative leadership for public service reform and development. The PLSB includes Secretary General/CEO level participation drawn from the Civil Service Management Board (CSMB) and representation from a broad range of public service organisations.</w:t>
            </w:r>
            <w:r w:rsidR="00B204C9">
              <w:t xml:space="preserve"> The PLSB is chaired by the Secretary General of the Department of Public Expenditure, Public Service Reform and Digitalisation</w:t>
            </w:r>
            <w:r w:rsidR="00883CB0">
              <w:t xml:space="preserve">. </w:t>
            </w:r>
          </w:p>
          <w:p w:rsidR="001F24D0" w:rsidP="00883CB0" w:rsidRDefault="001F24D0" w14:paraId="101CE0E5" w14:textId="13A7CC03">
            <w:pPr>
              <w:pStyle w:val="Para0"/>
            </w:pPr>
            <w:r>
              <w:t xml:space="preserve">The PSLB provides strategic leadership for public service transformation through Ireland’s Better Public Services Strategy. It aims to ensure alignment </w:t>
            </w:r>
            <w:r w:rsidR="00B204C9">
              <w:t xml:space="preserve">on share priorities at central government level and has implementation oversight, leading the implementation of priority national plans. </w:t>
            </w:r>
          </w:p>
          <w:p w:rsidRPr="0013568E" w:rsidR="0086096A" w:rsidRDefault="0086096A" w14:paraId="3E9096E5" w14:textId="77777777">
            <w:pPr>
              <w:pStyle w:val="Sourcenotes"/>
              <w:rPr>
                <w:rFonts w:asciiTheme="minorHAnsi" w:hAnsiTheme="minorHAnsi"/>
                <w:sz w:val="20"/>
              </w:rPr>
            </w:pPr>
          </w:p>
          <w:p w:rsidRPr="00775FF9" w:rsidR="0086096A" w:rsidRDefault="0086096A" w14:paraId="63A24906" w14:textId="21F0315D">
            <w:pPr>
              <w:pStyle w:val="Sourcenotes"/>
            </w:pPr>
            <w:r w:rsidRPr="001A57D8">
              <w:t>Source:</w:t>
            </w:r>
            <w:r w:rsidRPr="001A57D8" w:rsidR="001A57D8">
              <w:t xml:space="preserve"> Data collected through TSI Country Mission in Ireland, March 2025</w:t>
            </w:r>
            <w:r w:rsidR="00F70B48">
              <w:t>.</w:t>
            </w:r>
          </w:p>
        </w:tc>
      </w:tr>
    </w:tbl>
    <w:p w:rsidRPr="00812FA8" w:rsidR="00812FA8" w:rsidP="00812FA8" w:rsidRDefault="00812FA8" w14:paraId="17B02482" w14:textId="77777777">
      <w:pPr>
        <w:pStyle w:val="Para0"/>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2F056F" w14:paraId="71D60098"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2F056F" w:rsidRDefault="009A36B1" w14:paraId="76C4CF44" w14:textId="66551664">
            <w:pPr>
              <w:pStyle w:val="Caption"/>
            </w:pPr>
            <w:bookmarkStart w:name="_Ref223365588" w:id="96"/>
            <w:bookmarkStart w:name="_Toc223413810" w:id="97"/>
            <w:r>
              <w:rPr>
                <w:noProof/>
              </w:rPr>
              <w:drawing>
                <wp:anchor distT="0" distB="0" distL="114300" distR="114300" simplePos="0" relativeHeight="251658256" behindDoc="1" locked="0" layoutInCell="1" allowOverlap="1" wp14:anchorId="66FFB9ED" wp14:editId="6F2F9DD2">
                  <wp:simplePos x="0" y="0"/>
                  <wp:positionH relativeFrom="column">
                    <wp:posOffset>4776666</wp:posOffset>
                  </wp:positionH>
                  <wp:positionV relativeFrom="paragraph">
                    <wp:posOffset>447382</wp:posOffset>
                  </wp:positionV>
                  <wp:extent cx="974725" cy="488315"/>
                  <wp:effectExtent l="0" t="0" r="0" b="6985"/>
                  <wp:wrapTight wrapText="bothSides">
                    <wp:wrapPolygon edited="0">
                      <wp:start x="0" y="0"/>
                      <wp:lineTo x="0" y="21066"/>
                      <wp:lineTo x="21107" y="21066"/>
                      <wp:lineTo x="21107" y="0"/>
                      <wp:lineTo x="0" y="0"/>
                    </wp:wrapPolygon>
                  </wp:wrapTight>
                  <wp:docPr id="11950772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74725" cy="488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4A50" w:rsidR="002F056F">
              <w:t>Box</w:t>
            </w:r>
            <w:r w:rsidR="002F056F">
              <w:t> </w:t>
            </w:r>
            <w:r w:rsidR="002F056F">
              <w:rPr>
                <w:noProof/>
              </w:rPr>
              <w:fldChar w:fldCharType="begin"/>
            </w:r>
            <w:r w:rsidR="002F056F">
              <w:rPr>
                <w:noProof/>
              </w:rPr>
              <w:instrText xml:space="preserve"> STYLEREF 1 \s </w:instrText>
            </w:r>
            <w:r w:rsidR="002F056F">
              <w:rPr>
                <w:noProof/>
              </w:rPr>
              <w:fldChar w:fldCharType="separate"/>
            </w:r>
            <w:r w:rsidR="00543B3D">
              <w:rPr>
                <w:noProof/>
              </w:rPr>
              <w:t>3</w:t>
            </w:r>
            <w:r w:rsidR="002F056F">
              <w:rPr>
                <w:noProof/>
              </w:rPr>
              <w:fldChar w:fldCharType="end"/>
            </w:r>
            <w:r w:rsidR="002F056F">
              <w:t>.</w:t>
            </w:r>
            <w:r w:rsidR="002F056F">
              <w:rPr>
                <w:noProof/>
              </w:rPr>
              <w:fldChar w:fldCharType="begin"/>
            </w:r>
            <w:r w:rsidR="002F056F">
              <w:rPr>
                <w:noProof/>
              </w:rPr>
              <w:instrText xml:space="preserve"> SEQ Box \* ARABIC \s 1 </w:instrText>
            </w:r>
            <w:r w:rsidR="002F056F">
              <w:rPr>
                <w:noProof/>
              </w:rPr>
              <w:fldChar w:fldCharType="separate"/>
            </w:r>
            <w:r w:rsidR="00543B3D">
              <w:rPr>
                <w:noProof/>
              </w:rPr>
              <w:t>6</w:t>
            </w:r>
            <w:r w:rsidR="002F056F">
              <w:rPr>
                <w:noProof/>
              </w:rPr>
              <w:fldChar w:fldCharType="end"/>
            </w:r>
            <w:bookmarkEnd w:id="96"/>
            <w:r w:rsidR="002F056F">
              <w:t xml:space="preserve">. </w:t>
            </w:r>
            <w:r w:rsidR="00A40062">
              <w:t xml:space="preserve">Latvia - </w:t>
            </w:r>
            <w:r w:rsidR="0066551A">
              <w:t xml:space="preserve">Co-ordination across government levels in </w:t>
            </w:r>
            <w:r w:rsidR="00593669">
              <w:t xml:space="preserve">to ensure seamless </w:t>
            </w:r>
            <w:r w:rsidR="0066551A">
              <w:t>service delivery</w:t>
            </w:r>
            <w:bookmarkEnd w:id="97"/>
          </w:p>
          <w:p w:rsidR="002F056F" w:rsidP="00413DCC" w:rsidRDefault="008277B0" w14:paraId="2BA4CCAD" w14:textId="77777777">
            <w:pPr>
              <w:pStyle w:val="Para0"/>
            </w:pPr>
            <w:r w:rsidRPr="008277B0">
              <w:t xml:space="preserve">In </w:t>
            </w:r>
            <w:r w:rsidRPr="00832509">
              <w:rPr>
                <w:b/>
                <w:bCs/>
              </w:rPr>
              <w:t>Latvia</w:t>
            </w:r>
            <w:r w:rsidRPr="008277B0">
              <w:t xml:space="preserve">, public service provision is split between </w:t>
            </w:r>
            <w:r>
              <w:t xml:space="preserve">two government levels </w:t>
            </w:r>
            <w:r w:rsidR="00556D2F">
              <w:t xml:space="preserve">- </w:t>
            </w:r>
            <w:r w:rsidRPr="008277B0">
              <w:t xml:space="preserve">state and local public entities. To promote service integration between different providers from the two government levels, the </w:t>
            </w:r>
            <w:r w:rsidRPr="00413DCC">
              <w:rPr>
                <w:b/>
                <w:bCs/>
              </w:rPr>
              <w:t>Ministry of Smart Administration and Regional Development</w:t>
            </w:r>
            <w:r w:rsidRPr="00413DCC" w:rsidR="00285563">
              <w:rPr>
                <w:b/>
                <w:bCs/>
              </w:rPr>
              <w:t xml:space="preserve"> </w:t>
            </w:r>
            <w:r w:rsidRPr="00413DCC">
              <w:rPr>
                <w:b/>
                <w:bCs/>
              </w:rPr>
              <w:t>in collaboration with local governments and the Latvian Association of Local and Regional Governments, has been developing a network of State and Local Government Unified Customer Service Centres</w:t>
            </w:r>
            <w:r w:rsidRPr="008277B0">
              <w:t>. Such centres, established in municipal buildings like city/villages halls and public libraries, provide citizens with the most popular state and municipal services in one place.</w:t>
            </w:r>
            <w:r w:rsidR="00524DC2">
              <w:t xml:space="preserve"> </w:t>
            </w:r>
            <w:r w:rsidRPr="008277B0">
              <w:t>As of April 2025, there are 254 centres established in 35 (out of 43) Latvian municipalities, with the Ministry planning to open more centres in the upcoming years.</w:t>
            </w:r>
            <w:r w:rsidR="00413DCC">
              <w:t xml:space="preserve"> </w:t>
            </w:r>
          </w:p>
          <w:p w:rsidRPr="00775FF9" w:rsidR="00413DCC" w:rsidP="00413DCC" w:rsidRDefault="00413DCC" w14:paraId="260D933B" w14:textId="155E3367">
            <w:pPr>
              <w:pStyle w:val="Sourcenotes"/>
            </w:pPr>
            <w:r>
              <w:t xml:space="preserve">Source: </w:t>
            </w:r>
            <w:r w:rsidRPr="007D1EFC">
              <w:t xml:space="preserve">Information obtained in country mission in </w:t>
            </w:r>
            <w:r>
              <w:t>June</w:t>
            </w:r>
            <w:r w:rsidRPr="007D1EFC">
              <w:t xml:space="preserve"> 2025 as part of this TSI</w:t>
            </w:r>
            <w:r>
              <w:t>.</w:t>
            </w:r>
          </w:p>
        </w:tc>
      </w:tr>
    </w:tbl>
    <w:p w:rsidRPr="00D9510B" w:rsidR="00D9510B" w:rsidP="00D9510B" w:rsidRDefault="00D9510B" w14:paraId="4789F333" w14:textId="1B3A8351">
      <w:pPr>
        <w:pStyle w:val="Heading4"/>
        <w:rPr>
          <w:lang w:val="en-US"/>
        </w:rPr>
      </w:pPr>
      <w:r w:rsidRPr="00D9510B">
        <w:rPr>
          <w:lang w:val="en-US"/>
        </w:rPr>
        <w:t>Public Service Catalogues to support public administrations and pro</w:t>
      </w:r>
      <w:r>
        <w:rPr>
          <w:lang w:val="en-US"/>
        </w:rPr>
        <w:t>vide information to users</w:t>
      </w:r>
    </w:p>
    <w:p w:rsidR="009C1110" w:rsidP="009C1110" w:rsidRDefault="002B5384" w14:paraId="1C4A034A" w14:textId="6F1CB9E1">
      <w:pPr>
        <w:pStyle w:val="Para0"/>
      </w:pPr>
      <w:r w:rsidRPr="00832509">
        <w:rPr>
          <w:b/>
          <w:bCs/>
        </w:rPr>
        <w:t xml:space="preserve">To support the development of seamless services, the TSI Project has identified the value of developing an </w:t>
      </w:r>
      <w:r w:rsidRPr="0083690F">
        <w:rPr>
          <w:b/>
          <w:bCs/>
        </w:rPr>
        <w:t>inventory or catalogue of public services</w:t>
      </w:r>
      <w:r w:rsidRPr="00832509">
        <w:rPr>
          <w:b/>
          <w:bCs/>
        </w:rPr>
        <w:t xml:space="preserve"> in countries.</w:t>
      </w:r>
      <w:r>
        <w:t xml:space="preserve"> </w:t>
      </w:r>
      <w:r w:rsidR="00CE6D6C">
        <w:t>A Public Service Catalogue can support users in identifying the services available (e.g. Estonia) (</w:t>
      </w:r>
      <w:r w:rsidR="00CE6D6C">
        <w:fldChar w:fldCharType="begin"/>
      </w:r>
      <w:r w:rsidR="00CE6D6C">
        <w:instrText xml:space="preserve"> REF _Ref215516314 \h </w:instrText>
      </w:r>
      <w:r w:rsidR="00CE6D6C">
        <w:fldChar w:fldCharType="separate"/>
      </w:r>
      <w:r w:rsidRPr="00B44A50" w:rsidR="00543B3D">
        <w:t>Box</w:t>
      </w:r>
      <w:r w:rsidR="00543B3D">
        <w:t> </w:t>
      </w:r>
      <w:r w:rsidR="00543B3D">
        <w:rPr>
          <w:noProof/>
        </w:rPr>
        <w:t>3</w:t>
      </w:r>
      <w:r w:rsidR="00543B3D">
        <w:t>.</w:t>
      </w:r>
      <w:r w:rsidR="00543B3D">
        <w:rPr>
          <w:noProof/>
        </w:rPr>
        <w:t>14</w:t>
      </w:r>
      <w:r w:rsidR="00CE6D6C">
        <w:fldChar w:fldCharType="end"/>
      </w:r>
      <w:r w:rsidR="00CE6D6C">
        <w:t xml:space="preserve">). </w:t>
      </w:r>
    </w:p>
    <w:p w:rsidR="00555E23" w:rsidRDefault="00555E23" w14:paraId="7BAF596A" w14:textId="77777777">
      <w:r>
        <w:rPr>
          <w:b/>
          <w:iCs/>
        </w:rPr>
        <w:br w:type="page"/>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CE6D6C" w14:paraId="2A69A965"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Pr="00857C26" w:rsidR="00CE6D6C" w:rsidP="00CE6D6C" w:rsidRDefault="00CE6D6C" w14:paraId="6DA35A6C" w14:textId="6D76FBD8">
            <w:pPr>
              <w:pStyle w:val="Caption"/>
              <w:keepNext w:val="0"/>
              <w:spacing w:line="320" w:lineRule="exact"/>
              <w:rPr>
                <w:lang w:val="en-US"/>
              </w:rPr>
            </w:pPr>
            <w:bookmarkStart w:name="_Toc223413811" w:id="98"/>
            <w:r>
              <w:rPr>
                <w:noProof/>
              </w:rPr>
              <w:drawing>
                <wp:anchor distT="0" distB="0" distL="114300" distR="114300" simplePos="0" relativeHeight="251658292" behindDoc="1" locked="0" layoutInCell="1" allowOverlap="1" wp14:anchorId="037FB686" wp14:editId="18FDA667">
                  <wp:simplePos x="0" y="0"/>
                  <wp:positionH relativeFrom="column">
                    <wp:posOffset>4673600</wp:posOffset>
                  </wp:positionH>
                  <wp:positionV relativeFrom="paragraph">
                    <wp:posOffset>85725</wp:posOffset>
                  </wp:positionV>
                  <wp:extent cx="1009015" cy="641350"/>
                  <wp:effectExtent l="0" t="0" r="635" b="6350"/>
                  <wp:wrapTight wrapText="bothSides">
                    <wp:wrapPolygon edited="0">
                      <wp:start x="0" y="0"/>
                      <wp:lineTo x="0" y="21172"/>
                      <wp:lineTo x="21206" y="21172"/>
                      <wp:lineTo x="21206" y="0"/>
                      <wp:lineTo x="0" y="0"/>
                    </wp:wrapPolygon>
                  </wp:wrapTight>
                  <wp:docPr id="178582619" name="Picture 1" descr="A blue and black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12193" name="Picture 1" descr="A blue and black flag&#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09015" cy="641350"/>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7</w:t>
            </w:r>
            <w:r>
              <w:rPr>
                <w:noProof/>
              </w:rPr>
              <w:fldChar w:fldCharType="end"/>
            </w:r>
            <w:r>
              <w:t xml:space="preserve">. </w:t>
            </w:r>
            <w:r w:rsidR="00A40062">
              <w:t xml:space="preserve">Estonia - </w:t>
            </w:r>
            <w:r w:rsidRPr="00857C26">
              <w:rPr>
                <w:lang w:val="en-US"/>
              </w:rPr>
              <w:t>The Public Service Catalogue</w:t>
            </w:r>
            <w:bookmarkEnd w:id="98"/>
            <w:r w:rsidRPr="00857C26">
              <w:rPr>
                <w:lang w:val="en-US"/>
              </w:rPr>
              <w:t xml:space="preserve"> </w:t>
            </w:r>
          </w:p>
          <w:p w:rsidR="00CE6D6C" w:rsidP="0083690F" w:rsidRDefault="00CE6D6C" w14:paraId="248BE73E" w14:textId="77777777">
            <w:pPr>
              <w:pStyle w:val="BoxHeading"/>
              <w:keepNext w:val="0"/>
              <w:jc w:val="both"/>
              <w:rPr>
                <w:rFonts w:asciiTheme="minorHAnsi" w:hAnsiTheme="minorHAnsi" w:cstheme="minorHAnsi"/>
                <w:b w:val="0"/>
                <w:bCs/>
                <w:sz w:val="20"/>
                <w:szCs w:val="20"/>
              </w:rPr>
            </w:pPr>
            <w:r w:rsidRPr="00CE6D6C">
              <w:rPr>
                <w:rFonts w:asciiTheme="minorHAnsi" w:hAnsiTheme="minorHAnsi" w:cstheme="minorHAnsi"/>
                <w:b w:val="0"/>
                <w:bCs/>
                <w:sz w:val="20"/>
                <w:szCs w:val="20"/>
              </w:rPr>
              <w:t xml:space="preserve">A Service Catalogue has been developed in </w:t>
            </w:r>
            <w:r w:rsidRPr="00832509">
              <w:rPr>
                <w:rFonts w:asciiTheme="minorHAnsi" w:hAnsiTheme="minorHAnsi" w:cstheme="minorHAnsi"/>
                <w:sz w:val="20"/>
                <w:szCs w:val="20"/>
              </w:rPr>
              <w:t>Estonia</w:t>
            </w:r>
            <w:r w:rsidRPr="00CE6D6C">
              <w:rPr>
                <w:rFonts w:asciiTheme="minorHAnsi" w:hAnsiTheme="minorHAnsi" w:cstheme="minorHAnsi"/>
                <w:b w:val="0"/>
                <w:bCs/>
                <w:sz w:val="20"/>
                <w:szCs w:val="20"/>
              </w:rPr>
              <w:t xml:space="preserve">, available on </w:t>
            </w:r>
            <w:hyperlink w:history="1" r:id="rId66">
              <w:r w:rsidRPr="00CE6D6C">
                <w:rPr>
                  <w:rStyle w:val="Hyperlink"/>
                  <w:rFonts w:asciiTheme="minorHAnsi" w:hAnsiTheme="minorHAnsi" w:cstheme="minorHAnsi"/>
                  <w:b w:val="0"/>
                  <w:bCs/>
                  <w:sz w:val="20"/>
                  <w:szCs w:val="20"/>
                </w:rPr>
                <w:t>www.eesti.ee</w:t>
              </w:r>
            </w:hyperlink>
            <w:r w:rsidRPr="00CE6D6C">
              <w:rPr>
                <w:rFonts w:asciiTheme="minorHAnsi" w:hAnsiTheme="minorHAnsi" w:cstheme="minorHAnsi"/>
                <w:b w:val="0"/>
                <w:bCs/>
                <w:sz w:val="20"/>
                <w:szCs w:val="20"/>
              </w:rPr>
              <w:t xml:space="preserve">. The Service Catalogue aggregates a selection of e-services and information sources related to the Services. The Service Catalogue is grouped by Areas of Service, with the Catalogue also listing all services available. </w:t>
            </w:r>
          </w:p>
          <w:p w:rsidR="00CE6D6C" w:rsidP="00CE6D6C" w:rsidRDefault="00CE6D6C" w14:paraId="41717518" w14:textId="0126007B">
            <w:pPr>
              <w:pStyle w:val="Sourcenotes"/>
              <w:spacing w:line="240" w:lineRule="auto"/>
              <w:jc w:val="center"/>
              <w:rPr>
                <w:b/>
                <w:sz w:val="22"/>
              </w:rPr>
            </w:pPr>
            <w:r w:rsidRPr="00CE6D6C">
              <w:rPr>
                <w:b/>
                <w:noProof/>
                <w:sz w:val="22"/>
                <w:lang w:val="en-US"/>
              </w:rPr>
              <w:drawing>
                <wp:inline distT="0" distB="0" distL="0" distR="0" wp14:anchorId="0D910F1A" wp14:editId="10FD106C">
                  <wp:extent cx="4552950" cy="4339454"/>
                  <wp:effectExtent l="0" t="0" r="0" b="4445"/>
                  <wp:docPr id="630321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273919" name=""/>
                          <pic:cNvPicPr/>
                        </pic:nvPicPr>
                        <pic:blipFill>
                          <a:blip r:embed="rId67"/>
                          <a:stretch>
                            <a:fillRect/>
                          </a:stretch>
                        </pic:blipFill>
                        <pic:spPr>
                          <a:xfrm>
                            <a:off x="0" y="0"/>
                            <a:ext cx="4557814" cy="4344090"/>
                          </a:xfrm>
                          <a:prstGeom prst="rect">
                            <a:avLst/>
                          </a:prstGeom>
                        </pic:spPr>
                      </pic:pic>
                    </a:graphicData>
                  </a:graphic>
                </wp:inline>
              </w:drawing>
            </w:r>
          </w:p>
          <w:p w:rsidRPr="00775FF9" w:rsidR="00CE6D6C" w:rsidP="00CE6D6C" w:rsidRDefault="00CE6D6C" w14:paraId="6EF43A33" w14:textId="32DF73FD">
            <w:pPr>
              <w:pStyle w:val="Sourcenotes"/>
              <w:spacing w:line="240" w:lineRule="auto"/>
            </w:pPr>
            <w:r>
              <w:t xml:space="preserve">Source: </w:t>
            </w:r>
            <w:r w:rsidRPr="007D1EFC">
              <w:t xml:space="preserve">Information obtained in country mission in </w:t>
            </w:r>
            <w:r>
              <w:t>June</w:t>
            </w:r>
            <w:r w:rsidRPr="007D1EFC">
              <w:t xml:space="preserve"> 2025 as part of this TSI</w:t>
            </w:r>
            <w:r>
              <w:t>.</w:t>
            </w:r>
          </w:p>
        </w:tc>
      </w:tr>
    </w:tbl>
    <w:p w:rsidR="00555E23" w:rsidP="009C1110" w:rsidRDefault="00555E23" w14:paraId="20D0B34A" w14:textId="77777777">
      <w:pPr>
        <w:pStyle w:val="Para0"/>
      </w:pPr>
    </w:p>
    <w:p w:rsidR="00555E23" w:rsidRDefault="00555E23" w14:paraId="61EF0EE0" w14:textId="77777777">
      <w:pPr>
        <w:widowControl/>
        <w:spacing w:after="200" w:line="276" w:lineRule="auto"/>
        <w:jc w:val="left"/>
        <w:rPr>
          <w:color w:val="000000" w:themeColor="text1"/>
          <w:sz w:val="20"/>
        </w:rPr>
      </w:pPr>
      <w:r>
        <w:br w:type="page"/>
      </w:r>
    </w:p>
    <w:p w:rsidR="00E81BC6" w:rsidP="009C1110" w:rsidRDefault="00E81BC6" w14:paraId="02A04F8D" w14:textId="017ADFF9">
      <w:pPr>
        <w:pStyle w:val="Para0"/>
      </w:pPr>
      <w:r>
        <w:t xml:space="preserve">Providing users with an overview of the catalogue of services available to them is also in place in Greece through the </w:t>
      </w:r>
      <w:r>
        <w:rPr>
          <w:i/>
          <w:iCs/>
        </w:rPr>
        <w:t xml:space="preserve">Mitos </w:t>
      </w:r>
      <w:r>
        <w:t xml:space="preserve">registry of procedures.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E81BC6" w14:paraId="04C45369"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E81BC6" w:rsidRDefault="00E81BC6" w14:paraId="18FD1A31" w14:textId="1C0D821D">
            <w:pPr>
              <w:pStyle w:val="Caption"/>
            </w:pPr>
            <w:bookmarkStart w:name="_Toc223413812" w:id="99"/>
            <w:r w:rsidRPr="00B7105D">
              <w:rPr>
                <w:noProof/>
              </w:rPr>
              <w:drawing>
                <wp:anchor distT="0" distB="0" distL="114300" distR="114300" simplePos="0" relativeHeight="251658293" behindDoc="1" locked="0" layoutInCell="1" allowOverlap="1" wp14:anchorId="225F36D0" wp14:editId="5E9AE76C">
                  <wp:simplePos x="0" y="0"/>
                  <wp:positionH relativeFrom="column">
                    <wp:posOffset>4749800</wp:posOffset>
                  </wp:positionH>
                  <wp:positionV relativeFrom="paragraph">
                    <wp:posOffset>123190</wp:posOffset>
                  </wp:positionV>
                  <wp:extent cx="810260" cy="539750"/>
                  <wp:effectExtent l="0" t="0" r="8890" b="0"/>
                  <wp:wrapTight wrapText="bothSides">
                    <wp:wrapPolygon edited="0">
                      <wp:start x="0" y="0"/>
                      <wp:lineTo x="0" y="20584"/>
                      <wp:lineTo x="21329" y="20584"/>
                      <wp:lineTo x="21329" y="0"/>
                      <wp:lineTo x="0" y="0"/>
                    </wp:wrapPolygon>
                  </wp:wrapTight>
                  <wp:docPr id="1724066321" name="Picture 1" descr="A blue and white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066321" name="Picture 1" descr="A blue and white flag&#10;&#10;AI-generated content may be incorrec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810260" cy="539750"/>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8</w:t>
            </w:r>
            <w:r>
              <w:rPr>
                <w:noProof/>
              </w:rPr>
              <w:fldChar w:fldCharType="end"/>
            </w:r>
            <w:r>
              <w:t>. Greece</w:t>
            </w:r>
            <w:r w:rsidR="00A40062">
              <w:t xml:space="preserve"> - </w:t>
            </w:r>
            <w:r>
              <w:t>Mitos Registry of Procedures</w:t>
            </w:r>
            <w:bookmarkEnd w:id="99"/>
          </w:p>
          <w:p w:rsidRPr="00CE71B5" w:rsidR="00E81BC6" w:rsidP="00E81BC6" w:rsidRDefault="00E81BC6" w14:paraId="36568D11" w14:textId="5AE8023D">
            <w:pPr>
              <w:pStyle w:val="Para0"/>
            </w:pPr>
            <w:r w:rsidRPr="00832509">
              <w:rPr>
                <w:b/>
                <w:bCs/>
              </w:rPr>
              <w:t>Greece</w:t>
            </w:r>
            <w:r w:rsidRPr="00CE71B5">
              <w:t xml:space="preserve">’s </w:t>
            </w:r>
            <w:r w:rsidRPr="00836B93">
              <w:rPr>
                <w:i/>
                <w:iCs/>
              </w:rPr>
              <w:t>M</w:t>
            </w:r>
            <w:r>
              <w:rPr>
                <w:i/>
                <w:iCs/>
              </w:rPr>
              <w:t>it</w:t>
            </w:r>
            <w:r w:rsidRPr="00836B93">
              <w:rPr>
                <w:i/>
                <w:iCs/>
              </w:rPr>
              <w:t>os Registry of Procedures</w:t>
            </w:r>
            <w:r w:rsidRPr="00CE71B5">
              <w:t xml:space="preserve"> is a central, authoritative catalogue of administrative procedures of the country. Bringing full transparency to what citizens and businesses need to do, which documents are required, and which authority is responsible, </w:t>
            </w:r>
            <w:r>
              <w:t>and the flow of procedural steps</w:t>
            </w:r>
            <w:r w:rsidRPr="00CE71B5">
              <w:t>, it eliminates ambiguity and help</w:t>
            </w:r>
            <w:r w:rsidR="005D230E">
              <w:t>s</w:t>
            </w:r>
            <w:r w:rsidRPr="00CE71B5">
              <w:t xml:space="preserve"> standardise processes, allowing citizens and businesses to proceed with clarity on their respective procedures. </w:t>
            </w:r>
            <w:r>
              <w:rPr>
                <w:i/>
                <w:iCs/>
              </w:rPr>
              <w:t>Mit</w:t>
            </w:r>
            <w:r w:rsidRPr="00D80D83">
              <w:rPr>
                <w:i/>
                <w:iCs/>
              </w:rPr>
              <w:t>hos</w:t>
            </w:r>
            <w:r w:rsidRPr="00CE71B5">
              <w:t xml:space="preserve"> improves legal clarity and certainty, simplifies compliance and support</w:t>
            </w:r>
            <w:r>
              <w:t>s</w:t>
            </w:r>
            <w:r w:rsidRPr="00CE71B5">
              <w:t xml:space="preserve"> the simplification and digital transformation of procedures as well. </w:t>
            </w:r>
          </w:p>
          <w:p w:rsidRPr="00864412" w:rsidR="00E81BC6" w:rsidP="00E81BC6" w:rsidRDefault="00E81BC6" w14:paraId="316E9F51" w14:textId="77777777">
            <w:pPr>
              <w:pStyle w:val="Para0"/>
              <w:rPr>
                <w:b/>
                <w:bCs/>
                <w:lang w:val="en-US"/>
              </w:rPr>
            </w:pPr>
            <w:r>
              <w:rPr>
                <w:b/>
                <w:bCs/>
                <w:lang w:val="en-US"/>
              </w:rPr>
              <w:t>Good practices summary:</w:t>
            </w:r>
          </w:p>
          <w:p w:rsidRPr="00864412" w:rsidR="00E81BC6" w:rsidP="00E81BC6" w:rsidRDefault="00E81BC6" w14:paraId="7BE2AD9B" w14:textId="77777777">
            <w:pPr>
              <w:pStyle w:val="BulletedList"/>
              <w:rPr>
                <w:lang w:val="en-US"/>
              </w:rPr>
            </w:pPr>
            <w:r>
              <w:rPr>
                <w:lang w:val="en-US"/>
              </w:rPr>
              <w:t xml:space="preserve">Catalogue all administrative procedures in a </w:t>
            </w:r>
            <w:r w:rsidRPr="00181E5D">
              <w:rPr>
                <w:b/>
                <w:bCs/>
                <w:lang w:val="en-US"/>
              </w:rPr>
              <w:t>single online registry</w:t>
            </w:r>
            <w:r>
              <w:rPr>
                <w:lang w:val="en-US"/>
              </w:rPr>
              <w:t>.</w:t>
            </w:r>
          </w:p>
          <w:p w:rsidRPr="00864412" w:rsidR="00E81BC6" w:rsidP="00E81BC6" w:rsidRDefault="00E81BC6" w14:paraId="422B0294" w14:textId="77777777">
            <w:pPr>
              <w:pStyle w:val="BulletedList"/>
              <w:rPr>
                <w:lang w:val="en-US"/>
              </w:rPr>
            </w:pPr>
            <w:r w:rsidRPr="00181E5D">
              <w:rPr>
                <w:b/>
                <w:bCs/>
                <w:lang w:val="en-US"/>
              </w:rPr>
              <w:t>Describe each procedure clearly</w:t>
            </w:r>
            <w:r>
              <w:rPr>
                <w:lang w:val="en-US"/>
              </w:rPr>
              <w:t xml:space="preserve"> (steps, documents, timeframes, responsible authority). </w:t>
            </w:r>
          </w:p>
          <w:p w:rsidR="00E81BC6" w:rsidP="00E81BC6" w:rsidRDefault="00181E5D" w14:paraId="070EB791" w14:textId="49B5350E">
            <w:pPr>
              <w:pStyle w:val="BulletedList"/>
              <w:rPr>
                <w:lang w:val="en-US"/>
              </w:rPr>
            </w:pPr>
            <w:r>
              <w:rPr>
                <w:b/>
                <w:bCs/>
                <w:lang w:val="en-US"/>
              </w:rPr>
              <w:t>I</w:t>
            </w:r>
            <w:r w:rsidRPr="00181E5D" w:rsidR="00E81BC6">
              <w:rPr>
                <w:b/>
                <w:bCs/>
                <w:lang w:val="en-US"/>
              </w:rPr>
              <w:t>dentify redundancies</w:t>
            </w:r>
            <w:r w:rsidR="00E81BC6">
              <w:rPr>
                <w:lang w:val="en-US"/>
              </w:rPr>
              <w:t xml:space="preserve"> and opportunities for simplification. </w:t>
            </w:r>
          </w:p>
          <w:p w:rsidRPr="00E81BC6" w:rsidR="00E81BC6" w:rsidP="00E81BC6" w:rsidRDefault="00E81BC6" w14:paraId="5230606D" w14:textId="11AAD5D3">
            <w:pPr>
              <w:pStyle w:val="BulletedList"/>
            </w:pPr>
            <w:r w:rsidRPr="00181E5D">
              <w:rPr>
                <w:b/>
                <w:bCs/>
                <w:lang w:val="en-US"/>
              </w:rPr>
              <w:t>Ensure transparency for users</w:t>
            </w:r>
            <w:r>
              <w:rPr>
                <w:lang w:val="en-US"/>
              </w:rPr>
              <w:t xml:space="preserve"> to know exactly what is required before applying. </w:t>
            </w:r>
          </w:p>
          <w:p w:rsidR="00E81BC6" w:rsidP="00E81BC6" w:rsidRDefault="00E81BC6" w14:paraId="34D3B04E" w14:textId="61D9B633">
            <w:pPr>
              <w:pStyle w:val="BulletedList"/>
              <w:rPr>
                <w:lang w:val="en-US"/>
              </w:rPr>
            </w:pPr>
            <w:r w:rsidRPr="00181E5D">
              <w:rPr>
                <w:b/>
                <w:bCs/>
                <w:lang w:val="en-US"/>
              </w:rPr>
              <w:t>Provide a stable, authoritative base for legal and regulatory updates</w:t>
            </w:r>
            <w:r>
              <w:rPr>
                <w:lang w:val="en-US"/>
              </w:rPr>
              <w:t xml:space="preserve">. </w:t>
            </w:r>
          </w:p>
          <w:p w:rsidRPr="00775FF9" w:rsidR="00E81BC6" w:rsidP="00E81BC6" w:rsidRDefault="00E81BC6" w14:paraId="56BBFC21" w14:textId="381F5FE0">
            <w:pPr>
              <w:pStyle w:val="BulletedList"/>
              <w:numPr>
                <w:ilvl w:val="0"/>
                <w:numId w:val="0"/>
              </w:numPr>
            </w:pPr>
            <w:r w:rsidRPr="00E81BC6">
              <w:rPr>
                <w:rFonts w:asciiTheme="majorHAnsi" w:hAnsiTheme="majorHAnsi"/>
                <w:sz w:val="18"/>
              </w:rPr>
              <w:t>Source: Information obtained in country mission in June 2025 as part of this TSI.</w:t>
            </w:r>
          </w:p>
        </w:tc>
      </w:tr>
    </w:tbl>
    <w:p w:rsidR="00D66A4E" w:rsidP="009C1110" w:rsidRDefault="00CE6D6C" w14:paraId="2E60D2D7" w14:textId="420A98E2">
      <w:pPr>
        <w:pStyle w:val="Para0"/>
      </w:pPr>
      <w:r w:rsidRPr="00832509">
        <w:rPr>
          <w:b/>
          <w:bCs/>
        </w:rPr>
        <w:t>Public Service Catalogues can also help map and organise services, as well as providing a full vision of the ‘as-is’ situation for the development of the Life Event approach.</w:t>
      </w:r>
      <w:r>
        <w:t xml:space="preserve"> The development of a public service catalogue also enables central administrations to ensure a record is kept, and frequently maintained, of the public services delivered as well as identifying the responsible authorities in their delivery. Croatia is currently developing its Public Services Catalogue with a view </w:t>
      </w:r>
      <w:r w:rsidR="00A1257B">
        <w:t>to do so</w:t>
      </w:r>
      <w:r>
        <w:t xml:space="preserve"> (</w:t>
      </w:r>
      <w:r>
        <w:fldChar w:fldCharType="begin"/>
      </w:r>
      <w:r>
        <w:instrText xml:space="preserve"> REF _Ref215516403 \h </w:instrText>
      </w:r>
      <w:r>
        <w:fldChar w:fldCharType="separate"/>
      </w:r>
      <w:r w:rsidRPr="00B44A50" w:rsidR="00543B3D">
        <w:t>Box</w:t>
      </w:r>
      <w:r w:rsidR="00543B3D">
        <w:t> </w:t>
      </w:r>
      <w:r w:rsidR="00543B3D">
        <w:rPr>
          <w:noProof/>
        </w:rPr>
        <w:t>3</w:t>
      </w:r>
      <w:r w:rsidR="00543B3D">
        <w:t>.</w:t>
      </w:r>
      <w:r w:rsidR="00543B3D">
        <w:rPr>
          <w:noProof/>
        </w:rPr>
        <w:t>9</w:t>
      </w:r>
      <w:r>
        <w:fldChar w:fldCharType="end"/>
      </w:r>
      <w:r>
        <w:t xml:space="preserve">).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58580B" w14:paraId="2CFC83BE"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58580B" w:rsidRDefault="0058580B" w14:paraId="563F2732" w14:textId="79CBC57B">
            <w:pPr>
              <w:pStyle w:val="Caption"/>
            </w:pPr>
            <w:bookmarkStart w:name="_Ref215516403" w:id="100"/>
            <w:bookmarkStart w:name="_Toc223413813" w:id="101"/>
            <w:r w:rsidRPr="00EF798A">
              <w:rPr>
                <w:noProof/>
              </w:rPr>
              <w:drawing>
                <wp:anchor distT="0" distB="0" distL="114300" distR="114300" simplePos="0" relativeHeight="251658285" behindDoc="1" locked="0" layoutInCell="1" allowOverlap="1" wp14:anchorId="1C69BA30" wp14:editId="7C17F3E2">
                  <wp:simplePos x="0" y="0"/>
                  <wp:positionH relativeFrom="column">
                    <wp:posOffset>4768215</wp:posOffset>
                  </wp:positionH>
                  <wp:positionV relativeFrom="paragraph">
                    <wp:posOffset>225913</wp:posOffset>
                  </wp:positionV>
                  <wp:extent cx="879475" cy="439420"/>
                  <wp:effectExtent l="0" t="0" r="0" b="0"/>
                  <wp:wrapTight wrapText="bothSides">
                    <wp:wrapPolygon edited="0">
                      <wp:start x="0" y="0"/>
                      <wp:lineTo x="0" y="20601"/>
                      <wp:lineTo x="21054" y="20601"/>
                      <wp:lineTo x="21054" y="0"/>
                      <wp:lineTo x="0" y="0"/>
                    </wp:wrapPolygon>
                  </wp:wrapTight>
                  <wp:docPr id="1018491042" name="Picture 1" descr="A flag with a red white and blue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91042" name="Picture 1" descr="A flag with a red white and blue flag&#10;&#10;AI-generated content may be incorrec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79475" cy="439420"/>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9</w:t>
            </w:r>
            <w:r>
              <w:rPr>
                <w:noProof/>
              </w:rPr>
              <w:fldChar w:fldCharType="end"/>
            </w:r>
            <w:bookmarkEnd w:id="100"/>
            <w:r>
              <w:t xml:space="preserve">. </w:t>
            </w:r>
            <w:r w:rsidR="00A40062">
              <w:t xml:space="preserve">Croatia - </w:t>
            </w:r>
            <w:r>
              <w:t>Introduction of a Public Services Catalogue</w:t>
            </w:r>
            <w:bookmarkEnd w:id="101"/>
            <w:r>
              <w:t xml:space="preserve"> </w:t>
            </w:r>
          </w:p>
          <w:p w:rsidR="00E81BC6" w:rsidP="00832509" w:rsidRDefault="0058580B" w14:paraId="6C8E7C23" w14:textId="1FEF7520">
            <w:pPr>
              <w:pStyle w:val="Para0"/>
              <w:rPr>
                <w:lang w:val="en-US"/>
              </w:rPr>
            </w:pPr>
            <w:r>
              <w:rPr>
                <w:lang w:val="en-US"/>
              </w:rPr>
              <w:t xml:space="preserve">In </w:t>
            </w:r>
            <w:r w:rsidRPr="00832509">
              <w:rPr>
                <w:b/>
                <w:bCs/>
                <w:lang w:val="en-US"/>
              </w:rPr>
              <w:t>Croatia</w:t>
            </w:r>
            <w:r>
              <w:rPr>
                <w:lang w:val="en-US"/>
              </w:rPr>
              <w:t>, work is ongoing for the development of a Catalogue of Public Services and Working Procedures. The aim of this Catalogue is to ensure that a comprehensive inventory of Public Services is available that will include the following information</w:t>
            </w:r>
            <w:r w:rsidR="00CE6D6C">
              <w:rPr>
                <w:lang w:val="en-US"/>
              </w:rPr>
              <w:t>. The Catalogue will be developed with Public Service Owners across Croatia, including data on (i) the Groups of users (citizens and business entities)</w:t>
            </w:r>
            <w:r w:rsidR="00507023">
              <w:rPr>
                <w:lang w:val="en-US"/>
              </w:rPr>
              <w:t>,</w:t>
            </w:r>
            <w:r w:rsidR="00CE6D6C">
              <w:rPr>
                <w:lang w:val="en-US"/>
              </w:rPr>
              <w:t xml:space="preserve"> (ii) the names of the Public Service Owners and Managers</w:t>
            </w:r>
            <w:r w:rsidR="00507023">
              <w:rPr>
                <w:lang w:val="en-US"/>
              </w:rPr>
              <w:t>,</w:t>
            </w:r>
            <w:r w:rsidR="00CE6D6C">
              <w:rPr>
                <w:lang w:val="en-US"/>
              </w:rPr>
              <w:t xml:space="preserve"> (iii) the legal basis for the public service</w:t>
            </w:r>
            <w:r w:rsidR="00507023">
              <w:rPr>
                <w:lang w:val="en-US"/>
              </w:rPr>
              <w:t>, and</w:t>
            </w:r>
            <w:r w:rsidR="00CE6D6C">
              <w:rPr>
                <w:lang w:val="en-US"/>
              </w:rPr>
              <w:t xml:space="preserve"> (iv) the inclusion of the public service within a Life Event.</w:t>
            </w:r>
            <w:r w:rsidR="00BD4251">
              <w:rPr>
                <w:lang w:val="en-US"/>
              </w:rPr>
              <w:t xml:space="preserve"> The Catalogue will also include information on how the public service is delivered by identifying (i) the service provision channel,</w:t>
            </w:r>
            <w:r w:rsidR="00507023">
              <w:rPr>
                <w:lang w:val="en-US"/>
              </w:rPr>
              <w:t xml:space="preserve"> and</w:t>
            </w:r>
            <w:r w:rsidR="00BD4251">
              <w:rPr>
                <w:lang w:val="en-US"/>
              </w:rPr>
              <w:t xml:space="preserve"> </w:t>
            </w:r>
            <w:r w:rsidR="00E81BC6">
              <w:rPr>
                <w:lang w:val="en-US"/>
              </w:rPr>
              <w:t xml:space="preserve">(ii) </w:t>
            </w:r>
            <w:r w:rsidR="00BD4251">
              <w:rPr>
                <w:lang w:val="en-US"/>
              </w:rPr>
              <w:t>the address and opening hours of physical access</w:t>
            </w:r>
            <w:r w:rsidR="00E81BC6">
              <w:rPr>
                <w:lang w:val="en-US"/>
              </w:rPr>
              <w:t xml:space="preserve"> as well as other channels existing for accessing the service. </w:t>
            </w:r>
          </w:p>
          <w:p w:rsidR="0058580B" w:rsidP="00832509" w:rsidRDefault="00CE6D6C" w14:paraId="3B7F28C9" w14:textId="0ACB5BB6">
            <w:pPr>
              <w:pStyle w:val="Para0"/>
              <w:rPr>
                <w:lang w:val="en-US"/>
              </w:rPr>
            </w:pPr>
            <w:r>
              <w:rPr>
                <w:lang w:val="en-US"/>
              </w:rPr>
              <w:t>Moreover, the catalogue aims to collect data to support monitoring of performance of the public service including (i) the tota</w:t>
            </w:r>
            <w:r w:rsidR="00BD4251">
              <w:rPr>
                <w:lang w:val="en-US"/>
              </w:rPr>
              <w:t>l financial cost to the user</w:t>
            </w:r>
            <w:r w:rsidR="00507023">
              <w:rPr>
                <w:lang w:val="en-US"/>
              </w:rPr>
              <w:t>,</w:t>
            </w:r>
            <w:r w:rsidR="00BD4251">
              <w:rPr>
                <w:lang w:val="en-US"/>
              </w:rPr>
              <w:t xml:space="preserve"> (ii) the times the user had to visit the official counter</w:t>
            </w:r>
            <w:r w:rsidR="00507023">
              <w:rPr>
                <w:lang w:val="en-US"/>
              </w:rPr>
              <w:t>, and</w:t>
            </w:r>
            <w:r w:rsidR="00BD4251">
              <w:rPr>
                <w:lang w:val="en-US"/>
              </w:rPr>
              <w:t xml:space="preserve"> (iii) the number of transactions/cases in the previous </w:t>
            </w:r>
            <w:r w:rsidR="00E81BC6">
              <w:rPr>
                <w:lang w:val="en-US"/>
              </w:rPr>
              <w:t>y</w:t>
            </w:r>
            <w:r w:rsidR="00BD4251">
              <w:rPr>
                <w:lang w:val="en-US"/>
              </w:rPr>
              <w:t xml:space="preserve">ear. </w:t>
            </w:r>
          </w:p>
          <w:p w:rsidRPr="00775FF9" w:rsidR="0058580B" w:rsidRDefault="0058580B" w14:paraId="531A24A4" w14:textId="37D9C2BF">
            <w:pPr>
              <w:pStyle w:val="Sourcenotes"/>
            </w:pPr>
            <w:r w:rsidRPr="00E81BC6">
              <w:t xml:space="preserve">Source: </w:t>
            </w:r>
            <w:r w:rsidRPr="00E81BC6" w:rsidR="00E81BC6">
              <w:t>Information gathered through TSI Country Mission in Croatia, May 2025</w:t>
            </w:r>
          </w:p>
        </w:tc>
      </w:tr>
    </w:tbl>
    <w:p w:rsidR="0058580B" w:rsidP="00097749" w:rsidRDefault="00097749" w14:paraId="07291737" w14:textId="72E302F4">
      <w:pPr>
        <w:pStyle w:val="Heading4"/>
        <w:rPr>
          <w:lang w:val="en-US"/>
        </w:rPr>
      </w:pPr>
      <w:r>
        <w:rPr>
          <w:lang w:val="en-US"/>
        </w:rPr>
        <w:t xml:space="preserve">Horizontal Public Service Transformation Funds </w:t>
      </w:r>
    </w:p>
    <w:p w:rsidR="00097749" w:rsidP="00097749" w:rsidRDefault="00097749" w14:paraId="22257391" w14:textId="453B5875">
      <w:pPr>
        <w:pStyle w:val="Para0"/>
        <w:rPr>
          <w:lang w:val="en-US"/>
        </w:rPr>
      </w:pPr>
      <w:r w:rsidRPr="00832509">
        <w:rPr>
          <w:b/>
          <w:bCs/>
          <w:lang w:val="en-US"/>
        </w:rPr>
        <w:t xml:space="preserve">Internal public service transformation funds can incentivise public institutions and servants to pilot and test new ideas, to integrate innovation in service delivery and foster cross-entity collaboration for better public services. </w:t>
      </w:r>
      <w:r>
        <w:rPr>
          <w:lang w:val="en-US"/>
        </w:rPr>
        <w:t xml:space="preserve">Such transformation funds can ensure cross-department/ministry cooperation through the funding of collaborative projects with common priorities.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E7AD6" w:rsidR="00DA6AE2" w14:paraId="22E249EA"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DA6AE2" w:rsidRDefault="00DA6AE2" w14:paraId="202379B0" w14:textId="772D22FB">
            <w:pPr>
              <w:pStyle w:val="Caption"/>
            </w:pPr>
            <w:bookmarkStart w:name="_Toc223413814" w:id="102"/>
            <w:r>
              <w:rPr>
                <w:noProof/>
              </w:rPr>
              <w:drawing>
                <wp:anchor distT="0" distB="0" distL="114300" distR="114300" simplePos="0" relativeHeight="251658295" behindDoc="1" locked="0" layoutInCell="1" allowOverlap="1" wp14:anchorId="5E3A522C" wp14:editId="7E6F5CB7">
                  <wp:simplePos x="0" y="0"/>
                  <wp:positionH relativeFrom="column">
                    <wp:posOffset>4768313</wp:posOffset>
                  </wp:positionH>
                  <wp:positionV relativeFrom="paragraph">
                    <wp:posOffset>121920</wp:posOffset>
                  </wp:positionV>
                  <wp:extent cx="930303" cy="465152"/>
                  <wp:effectExtent l="0" t="0" r="3175" b="0"/>
                  <wp:wrapTight wrapText="bothSides">
                    <wp:wrapPolygon edited="0">
                      <wp:start x="0" y="0"/>
                      <wp:lineTo x="0" y="20361"/>
                      <wp:lineTo x="21231" y="20361"/>
                      <wp:lineTo x="21231" y="0"/>
                      <wp:lineTo x="0" y="0"/>
                    </wp:wrapPolygon>
                  </wp:wrapTight>
                  <wp:docPr id="1615481395" name="Picture 1" descr="A flag of ireland with a white green and orange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87553" name="Picture 1" descr="A flag of ireland with a white green and orange stripe&#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30303" cy="4651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10</w:t>
            </w:r>
            <w:r>
              <w:rPr>
                <w:noProof/>
              </w:rPr>
              <w:fldChar w:fldCharType="end"/>
            </w:r>
            <w:r>
              <w:t xml:space="preserve">. </w:t>
            </w:r>
            <w:r w:rsidR="00A40062">
              <w:t xml:space="preserve">Ireland - </w:t>
            </w:r>
            <w:r>
              <w:t xml:space="preserve">The Public Services </w:t>
            </w:r>
            <w:r w:rsidR="005B40D3">
              <w:t>Innovation</w:t>
            </w:r>
            <w:r>
              <w:t xml:space="preserve"> Fund</w:t>
            </w:r>
            <w:bookmarkEnd w:id="102"/>
            <w:r>
              <w:t xml:space="preserve"> </w:t>
            </w:r>
          </w:p>
          <w:p w:rsidR="00DA6AE2" w:rsidRDefault="00DA6AE2" w14:paraId="0C00111C" w14:textId="3B1E4A2A">
            <w:pPr>
              <w:pStyle w:val="Para0"/>
            </w:pPr>
            <w:r w:rsidRPr="0013568E">
              <w:t xml:space="preserve">The </w:t>
            </w:r>
            <w:r>
              <w:t xml:space="preserve">Public Services </w:t>
            </w:r>
            <w:r w:rsidR="005B40D3">
              <w:t>Innovation</w:t>
            </w:r>
            <w:r>
              <w:t xml:space="preserve"> Fund</w:t>
            </w:r>
            <w:r w:rsidR="00DC436D">
              <w:t xml:space="preserve"> 2024</w:t>
            </w:r>
            <w:r>
              <w:t xml:space="preserve"> has been established in </w:t>
            </w:r>
            <w:r w:rsidRPr="00832509">
              <w:rPr>
                <w:b/>
                <w:bCs/>
              </w:rPr>
              <w:t>Ireland</w:t>
            </w:r>
            <w:r>
              <w:t xml:space="preserve"> </w:t>
            </w:r>
            <w:r w:rsidR="00861E0F">
              <w:t xml:space="preserve">to support innovative projects across the public administration that aim to improve service delivery and advance digital transformation. </w:t>
            </w:r>
          </w:p>
          <w:p w:rsidR="00DC436D" w:rsidRDefault="00DC436D" w14:paraId="294E9D19" w14:textId="6E1D9764">
            <w:pPr>
              <w:pStyle w:val="Para0"/>
            </w:pPr>
            <w:r w:rsidRPr="00DC436D">
              <w:t>The Public Service Innovation Fund 2024 is the sixth iteration of the fund with total funding of €500,000. The new fund places a strong focus on cross-organisational digital transformation, to meet the vision for a digital Public Service</w:t>
            </w:r>
            <w:r w:rsidR="00A527E5">
              <w:t xml:space="preserve">. The Fund is aligned with Ireland’s Better Public Services Transformation Strategy. </w:t>
            </w:r>
          </w:p>
          <w:p w:rsidRPr="005B40D3" w:rsidR="00DA6AE2" w:rsidRDefault="00DA6AE2" w14:paraId="7EB28D43" w14:textId="43DC8CAF">
            <w:pPr>
              <w:pStyle w:val="Sourcenotes"/>
              <w:rPr>
                <w:lang w:val="fr-FR"/>
              </w:rPr>
            </w:pPr>
            <w:r w:rsidRPr="005B40D3">
              <w:rPr>
                <w:lang w:val="fr-FR"/>
              </w:rPr>
              <w:t xml:space="preserve">Source: </w:t>
            </w:r>
            <w:sdt>
              <w:sdtPr>
                <w:rPr>
                  <w:lang w:val="fr-FR"/>
                </w:rPr>
                <w:id w:val="-79448866"/>
                <w:citation/>
              </w:sdtPr>
              <w:sdtEndPr/>
              <w:sdtContent>
                <w:r w:rsidR="00943638">
                  <w:rPr>
                    <w:lang w:val="fr-FR"/>
                  </w:rPr>
                  <w:fldChar w:fldCharType="begin"/>
                </w:r>
                <w:r w:rsidR="00943638">
                  <w:rPr>
                    <w:lang w:val="fr-FR"/>
                  </w:rPr>
                  <w:instrText xml:space="preserve"> CITATION Gov231 \l 1036 </w:instrText>
                </w:r>
                <w:r w:rsidR="00943638">
                  <w:rPr>
                    <w:lang w:val="fr-FR"/>
                  </w:rPr>
                  <w:fldChar w:fldCharType="separate"/>
                </w:r>
                <w:r w:rsidRPr="00F86F21" w:rsidR="00F86F21">
                  <w:rPr>
                    <w:noProof/>
                    <w:lang w:val="fr-FR"/>
                  </w:rPr>
                  <w:t>(Government of Ireland, 2023</w:t>
                </w:r>
                <w:r w:rsidRPr="00F86F21" w:rsidR="00F86F21">
                  <w:rPr>
                    <w:noProof/>
                    <w:vertAlign w:val="subscript"/>
                    <w:lang w:val="fr-FR"/>
                  </w:rPr>
                  <w:t>[20]</w:t>
                </w:r>
                <w:r w:rsidRPr="00F86F21" w:rsidR="00F86F21">
                  <w:rPr>
                    <w:noProof/>
                    <w:lang w:val="fr-FR"/>
                  </w:rPr>
                  <w:t>)</w:t>
                </w:r>
                <w:r w:rsidR="00943638">
                  <w:rPr>
                    <w:lang w:val="fr-FR"/>
                  </w:rPr>
                  <w:fldChar w:fldCharType="end"/>
                </w:r>
              </w:sdtContent>
            </w:sdt>
            <w:r w:rsidR="00943638">
              <w:rPr>
                <w:lang w:val="fr-FR"/>
              </w:rPr>
              <w:t>.</w:t>
            </w:r>
          </w:p>
        </w:tc>
      </w:tr>
    </w:tbl>
    <w:p w:rsidR="00C20472" w:rsidRDefault="001D54CC" w14:paraId="55349C0A" w14:textId="2EA32942">
      <w:pPr>
        <w:pStyle w:val="Heading2"/>
      </w:pPr>
      <w:bookmarkStart w:name="_Toc223413735" w:id="103"/>
      <w:r>
        <w:t>Fostering integrated services</w:t>
      </w:r>
      <w:r w:rsidR="007C6246">
        <w:t xml:space="preserve"> for users to provide information once</w:t>
      </w:r>
      <w:bookmarkEnd w:id="103"/>
    </w:p>
    <w:p w:rsidR="00B1015A" w:rsidP="00B1015A" w:rsidRDefault="00B1015A" w14:paraId="5383A83E" w14:textId="3F15F113">
      <w:pPr>
        <w:pStyle w:val="Para"/>
        <w:numPr>
          <w:ilvl w:val="0"/>
          <w:numId w:val="0"/>
        </w:numPr>
      </w:pPr>
      <w:r w:rsidRPr="00832509">
        <w:rPr>
          <w:b/>
          <w:bCs/>
        </w:rPr>
        <w:t>Integrated public services refer to the design and delivery of public services that are interconnected and co</w:t>
      </w:r>
      <w:r w:rsidRPr="00832509" w:rsidR="001B51BC">
        <w:rPr>
          <w:b/>
          <w:bCs/>
        </w:rPr>
        <w:t>-</w:t>
      </w:r>
      <w:r w:rsidRPr="00832509">
        <w:rPr>
          <w:b/>
          <w:bCs/>
        </w:rPr>
        <w:t>ordinated.</w:t>
      </w:r>
      <w:r>
        <w:t xml:space="preserve"> Integration enables services to be provided in a manner that is accessible to users through a unified experience. </w:t>
      </w:r>
    </w:p>
    <w:tbl>
      <w:tblPr>
        <w:tblStyle w:val="OECD"/>
        <w:tblW w:w="0" w:type="auto"/>
        <w:tblLook w:val="04A0" w:firstRow="1" w:lastRow="0" w:firstColumn="1" w:lastColumn="0" w:noHBand="0" w:noVBand="1"/>
      </w:tblPr>
      <w:tblGrid>
        <w:gridCol w:w="9298"/>
      </w:tblGrid>
      <w:tr w:rsidR="00B1015A" w14:paraId="33627B34" w14:textId="77777777">
        <w:tc>
          <w:tcPr>
            <w:tcW w:w="9298" w:type="dxa"/>
            <w:shd w:val="clear" w:color="auto" w:fill="244061" w:themeFill="accent1" w:themeFillShade="80"/>
          </w:tcPr>
          <w:p w:rsidRPr="00703A21" w:rsidR="00B1015A" w:rsidRDefault="00B1015A" w14:paraId="7595D846" w14:textId="77777777">
            <w:pPr>
              <w:pStyle w:val="Para0"/>
              <w:jc w:val="center"/>
              <w:rPr>
                <w:b/>
                <w:bCs/>
                <w:color w:val="FFFFFF" w:themeColor="background1"/>
                <w:sz w:val="24"/>
                <w:szCs w:val="24"/>
              </w:rPr>
            </w:pPr>
            <w:r w:rsidRPr="00703A21">
              <w:rPr>
                <w:b/>
                <w:bCs/>
                <w:noProof/>
                <w:color w:val="FFFFFF" w:themeColor="background1"/>
                <w:sz w:val="24"/>
                <w:szCs w:val="24"/>
              </w:rPr>
              <w:drawing>
                <wp:anchor distT="0" distB="0" distL="114300" distR="114300" simplePos="0" relativeHeight="251658286" behindDoc="1" locked="0" layoutInCell="1" allowOverlap="1" wp14:anchorId="641D56A6" wp14:editId="1ECB5CB0">
                  <wp:simplePos x="0" y="0"/>
                  <wp:positionH relativeFrom="column">
                    <wp:posOffset>4918075</wp:posOffset>
                  </wp:positionH>
                  <wp:positionV relativeFrom="paragraph">
                    <wp:posOffset>19685</wp:posOffset>
                  </wp:positionV>
                  <wp:extent cx="914400" cy="914400"/>
                  <wp:effectExtent l="0" t="0" r="0" b="0"/>
                  <wp:wrapSquare wrapText="bothSides"/>
                  <wp:docPr id="1276673603" name="Graphic 9" descr="Rope Knot with solid fill">
                    <a:extLst xmlns:a="http://schemas.openxmlformats.org/drawingml/2006/main">
                      <a:ext uri="{FF2B5EF4-FFF2-40B4-BE49-F238E27FC236}">
                        <a16:creationId xmlns:a16="http://schemas.microsoft.com/office/drawing/2014/main" id="{B7C8702F-2BF8-C298-122E-A6D0E747D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673603" name="Graphic 9" descr="Rope Knot with solid fill">
                            <a:extLst>
                              <a:ext uri="{FF2B5EF4-FFF2-40B4-BE49-F238E27FC236}">
                                <a16:creationId xmlns:a16="http://schemas.microsoft.com/office/drawing/2014/main" id="{B7C8702F-2BF8-C298-122E-A6D0E747D968}"/>
                              </a:ext>
                            </a:extLst>
                          </pic:cNvPr>
                          <pic:cNvPicPr>
                            <a:picLocks noChangeAspect="1"/>
                          </pic:cNvPicPr>
                        </pic:nvPicPr>
                        <pic:blipFill>
                          <a:blip r:embed="rId68">
                            <a:extLst>
                              <a:ext uri="{96DAC541-7B7A-43D3-8B79-37D633B846F1}">
                                <asvg:svgBlip xmlns:asvg="http://schemas.microsoft.com/office/drawing/2016/SVG/main" r:embed="rId69"/>
                              </a:ext>
                            </a:extLst>
                          </a:blip>
                          <a:stretch>
                            <a:fillRect/>
                          </a:stretch>
                        </pic:blipFill>
                        <pic:spPr>
                          <a:xfrm>
                            <a:off x="0" y="0"/>
                            <a:ext cx="914400" cy="914400"/>
                          </a:xfrm>
                          <a:prstGeom prst="rect">
                            <a:avLst/>
                          </a:prstGeom>
                        </pic:spPr>
                      </pic:pic>
                    </a:graphicData>
                  </a:graphic>
                </wp:anchor>
              </w:drawing>
            </w:r>
            <w:r w:rsidRPr="00703A21">
              <w:rPr>
                <w:b/>
                <w:bCs/>
                <w:color w:val="FFFFFF" w:themeColor="background1"/>
                <w:sz w:val="24"/>
                <w:szCs w:val="24"/>
              </w:rPr>
              <w:t xml:space="preserve">Spotlight on results from the TSI Satisfaction Survey </w:t>
            </w:r>
          </w:p>
          <w:p w:rsidRPr="00703A21" w:rsidR="00B1015A" w:rsidRDefault="00B1015A" w14:paraId="1096FF14" w14:textId="16745393">
            <w:pPr>
              <w:pStyle w:val="Para0"/>
              <w:jc w:val="center"/>
              <w:rPr>
                <w:b/>
                <w:bCs/>
                <w:color w:val="FFFFFF" w:themeColor="background1"/>
                <w:sz w:val="24"/>
                <w:szCs w:val="24"/>
              </w:rPr>
            </w:pPr>
            <w:r>
              <w:rPr>
                <w:b/>
                <w:bCs/>
                <w:color w:val="FFFFFF" w:themeColor="background1"/>
                <w:sz w:val="24"/>
                <w:szCs w:val="24"/>
              </w:rPr>
              <w:t xml:space="preserve">Integrated Services </w:t>
            </w:r>
          </w:p>
          <w:p w:rsidR="00B1015A" w:rsidP="00B1015A" w:rsidRDefault="00B1015A" w14:paraId="4DE2DFB5" w14:textId="77777777">
            <w:pPr>
              <w:pStyle w:val="Para"/>
              <w:numPr>
                <w:ilvl w:val="0"/>
                <w:numId w:val="42"/>
              </w:numPr>
            </w:pPr>
            <w:r>
              <w:t xml:space="preserve">The TSI Satisfaction Survey finds that user satisfaction is almost 30 percentage points higher, on average across the EU-10, when the user does not have the provide the same information more than once. </w:t>
            </w:r>
          </w:p>
          <w:p w:rsidR="00B1015A" w:rsidP="00B1015A" w:rsidRDefault="00B1015A" w14:paraId="13AD12A0" w14:textId="77777777">
            <w:pPr>
              <w:pStyle w:val="Para"/>
              <w:numPr>
                <w:ilvl w:val="0"/>
                <w:numId w:val="42"/>
              </w:numPr>
            </w:pPr>
            <w:r w:rsidRPr="00832509">
              <w:rPr>
                <w:b/>
                <w:bCs/>
              </w:rPr>
              <w:t>The level of integration of services can vary in complexity depending on the Life Events.</w:t>
            </w:r>
            <w:r>
              <w:t xml:space="preserve"> The TSI Satisfaction Survey finds that Life Events involving multiple public services had lower levels of users providing the information only once. For example, while over 70% of users across the EU-10 indicated providing the information only once when </w:t>
            </w:r>
            <w:r w:rsidRPr="006933B8">
              <w:rPr>
                <w:b/>
                <w:bCs/>
              </w:rPr>
              <w:t>filing income taxes</w:t>
            </w:r>
            <w:r>
              <w:t>, just over 40% indicated providing information only once when experiencing more complex Life Events such as having a baby/adopting a child or losing a loved one.</w:t>
            </w:r>
          </w:p>
          <w:p w:rsidRPr="00EE7985" w:rsidR="00B1015A" w:rsidP="00F872BE" w:rsidRDefault="00B1015A" w14:paraId="043D012B" w14:textId="7F0DEB70">
            <w:pPr>
              <w:pStyle w:val="Para"/>
              <w:numPr>
                <w:ilvl w:val="0"/>
                <w:numId w:val="42"/>
              </w:numPr>
              <w:rPr>
                <w:b/>
                <w:bCs/>
                <w:color w:val="FFFFFF" w:themeColor="background1"/>
              </w:rPr>
            </w:pPr>
            <w:r>
              <w:rPr>
                <w:noProof/>
              </w:rPr>
              <w:drawing>
                <wp:anchor distT="0" distB="0" distL="114300" distR="114300" simplePos="0" relativeHeight="251658296" behindDoc="1" locked="0" layoutInCell="1" allowOverlap="1" wp14:anchorId="0D6D3736" wp14:editId="05A0783D">
                  <wp:simplePos x="0" y="0"/>
                  <wp:positionH relativeFrom="column">
                    <wp:posOffset>-68580</wp:posOffset>
                  </wp:positionH>
                  <wp:positionV relativeFrom="paragraph">
                    <wp:posOffset>-3175</wp:posOffset>
                  </wp:positionV>
                  <wp:extent cx="5904230" cy="3079115"/>
                  <wp:effectExtent l="0" t="0" r="1270" b="6985"/>
                  <wp:wrapTight wrapText="bothSides">
                    <wp:wrapPolygon edited="0">
                      <wp:start x="0" y="0"/>
                      <wp:lineTo x="0" y="21515"/>
                      <wp:lineTo x="21535" y="21515"/>
                      <wp:lineTo x="21535" y="0"/>
                      <wp:lineTo x="0" y="0"/>
                    </wp:wrapPolygon>
                  </wp:wrapTight>
                  <wp:docPr id="362975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04230" cy="3079115"/>
                          </a:xfrm>
                          <a:prstGeom prst="rect">
                            <a:avLst/>
                          </a:prstGeom>
                          <a:noFill/>
                          <a:ln>
                            <a:noFill/>
                          </a:ln>
                        </pic:spPr>
                      </pic:pic>
                    </a:graphicData>
                  </a:graphic>
                </wp:anchor>
              </w:drawing>
            </w:r>
            <w:r w:rsidRPr="00832509" w:rsidR="00CE54D8">
              <w:rPr>
                <w:b/>
                <w:bCs/>
              </w:rPr>
              <w:t>The Satisfaction Survey also finds that users are more satisfied with Life Events that require fewer interactions.</w:t>
            </w:r>
            <w:r w:rsidR="00CE54D8">
              <w:t xml:space="preserve"> </w:t>
            </w:r>
            <w:r w:rsidR="00D31E5B">
              <w:t xml:space="preserve">When user’s needs are resolved with only one interaction, satisfaction is twenty percentage points higher. </w:t>
            </w:r>
          </w:p>
        </w:tc>
      </w:tr>
    </w:tbl>
    <w:p w:rsidR="0082043B" w:rsidP="0082043B" w:rsidRDefault="0082043B" w14:paraId="75880002" w14:textId="77777777">
      <w:pPr>
        <w:pStyle w:val="Heading3"/>
      </w:pPr>
      <w:r>
        <w:t>Country practices and lessons learnt</w:t>
      </w:r>
    </w:p>
    <w:p w:rsidR="00F872BE" w:rsidP="00F872BE" w:rsidRDefault="00F872BE" w14:paraId="521FCB28" w14:textId="7845252F">
      <w:pPr>
        <w:pStyle w:val="Heading4"/>
      </w:pPr>
      <w:r>
        <w:t xml:space="preserve">Once-Only Principle </w:t>
      </w:r>
    </w:p>
    <w:p w:rsidR="007729A0" w:rsidP="00084041" w:rsidRDefault="008D6B46" w14:paraId="136E4F6D" w14:textId="5C8AC120">
      <w:pPr>
        <w:pStyle w:val="Para"/>
        <w:numPr>
          <w:ilvl w:val="0"/>
          <w:numId w:val="0"/>
        </w:numPr>
      </w:pPr>
      <w:r w:rsidRPr="00832509">
        <w:rPr>
          <w:b/>
          <w:bCs/>
        </w:rPr>
        <w:t>A</w:t>
      </w:r>
      <w:r w:rsidRPr="00832509" w:rsidR="00EC3A4F">
        <w:rPr>
          <w:b/>
          <w:bCs/>
        </w:rPr>
        <w:t xml:space="preserve"> key measurement of integrated services is examining the application of the ‘Once-Only Principle’. </w:t>
      </w:r>
      <w:r w:rsidR="000A3FB1">
        <w:t>The Once</w:t>
      </w:r>
      <w:r w:rsidR="00F733A2">
        <w:t>-</w:t>
      </w:r>
      <w:r w:rsidR="000A3FB1">
        <w:t xml:space="preserve">Only Principle refers to the precept of not requesting users to supply the same information more than once to any service provider at any level or branch of government, enabled by interoperable data-sharing </w:t>
      </w:r>
      <w:r w:rsidR="00911380">
        <w:t xml:space="preserve">systems and other arrangements (e.g. user’s consent to the re-use of data). </w:t>
      </w:r>
      <w:r w:rsidR="00F733A2">
        <w:t xml:space="preserve">Applying the Once-Only Principle </w:t>
      </w:r>
      <w:r w:rsidR="001B63B3">
        <w:t xml:space="preserve">leads to administrations simplifying, streamlining and improving the experience of accessing and using services through the prevention of unnecessary administrative burden and complexity while maintaining administrative obligations and compliance requirements which are simple by default. </w:t>
      </w:r>
      <w:r w:rsidRPr="007729A0" w:rsidR="007729A0">
        <w:t>While there are different levels of application of the Once-Only Principle across Life Events, satisfaction among users who did not have to submit the same information more than once was above 80% for all Life Events.</w:t>
      </w:r>
    </w:p>
    <w:p w:rsidR="0078597A" w:rsidP="00321077" w:rsidRDefault="00321077" w14:paraId="40CF1DFE" w14:textId="3F08DCF8">
      <w:pPr>
        <w:pStyle w:val="Para"/>
        <w:numPr>
          <w:ilvl w:val="0"/>
          <w:numId w:val="0"/>
        </w:numPr>
      </w:pPr>
      <w:r w:rsidRPr="007F72BE">
        <w:rPr>
          <w:b/>
          <w:bCs/>
        </w:rPr>
        <w:t>Some</w:t>
      </w:r>
      <w:r w:rsidR="007F72BE">
        <w:rPr>
          <w:b/>
          <w:bCs/>
        </w:rPr>
        <w:t xml:space="preserve"> OECD</w:t>
      </w:r>
      <w:r w:rsidRPr="007F72BE">
        <w:rPr>
          <w:b/>
          <w:bCs/>
        </w:rPr>
        <w:t xml:space="preserve"> countries have deployed specific </w:t>
      </w:r>
      <w:r w:rsidRPr="007F72BE" w:rsidR="007F72BE">
        <w:rPr>
          <w:b/>
          <w:bCs/>
        </w:rPr>
        <w:t>O</w:t>
      </w:r>
      <w:r w:rsidRPr="007F72BE">
        <w:rPr>
          <w:b/>
          <w:bCs/>
        </w:rPr>
        <w:t>nce</w:t>
      </w:r>
      <w:r w:rsidRPr="007F72BE" w:rsidR="007F72BE">
        <w:rPr>
          <w:b/>
          <w:bCs/>
        </w:rPr>
        <w:t>-Only</w:t>
      </w:r>
      <w:r w:rsidRPr="007F72BE">
        <w:rPr>
          <w:b/>
          <w:bCs/>
        </w:rPr>
        <w:t xml:space="preserve"> </w:t>
      </w:r>
      <w:r w:rsidRPr="00672953">
        <w:rPr>
          <w:b/>
          <w:bCs/>
        </w:rPr>
        <w:t>programmes</w:t>
      </w:r>
      <w:r w:rsidRPr="00832509">
        <w:rPr>
          <w:b/>
          <w:bCs/>
        </w:rPr>
        <w:t xml:space="preserve"> to test and support their implementation across multiple services and administrations.</w:t>
      </w:r>
      <w:r>
        <w:t xml:space="preserve"> France and the UK have for instance deployed such programmes. The UK has start</w:t>
      </w:r>
      <w:r w:rsidR="00672953">
        <w:t>ed</w:t>
      </w:r>
      <w:r>
        <w:t xml:space="preserve"> to use </w:t>
      </w:r>
      <w:r w:rsidR="007F72BE">
        <w:t>the programme</w:t>
      </w:r>
      <w:r>
        <w:t xml:space="preserve"> with specific </w:t>
      </w:r>
      <w:r w:rsidR="00033B20">
        <w:t>Life Events</w:t>
      </w:r>
      <w:r>
        <w:t xml:space="preserve">, particularly for the Life Event ‘lost a loved one’ to help relieve the pain of providing multiple times information on the deceased. </w:t>
      </w:r>
    </w:p>
    <w:p w:rsidR="00321077" w:rsidP="00321077" w:rsidRDefault="0078597A" w14:paraId="76E8F9C8" w14:textId="24579DB3">
      <w:pPr>
        <w:pStyle w:val="Para"/>
        <w:numPr>
          <w:ilvl w:val="0"/>
          <w:numId w:val="0"/>
        </w:numPr>
      </w:pPr>
      <w:r w:rsidRPr="00832509">
        <w:rPr>
          <w:b/>
          <w:bCs/>
        </w:rPr>
        <w:t>In relation to TSI countries, efforts have been undertaken to further streamline the Once-Only Principle throughout service delivery.</w:t>
      </w:r>
      <w:r>
        <w:t xml:space="preserve"> </w:t>
      </w:r>
      <w:r w:rsidR="00672953">
        <w:t xml:space="preserve">For instance, </w:t>
      </w:r>
      <w:r w:rsidR="00321077">
        <w:t>Austria has created a dedicated data sharing platform to support the implementation of the principle across the administration (</w:t>
      </w:r>
      <w:r w:rsidR="004854E3">
        <w:fldChar w:fldCharType="begin"/>
      </w:r>
      <w:r w:rsidR="004854E3">
        <w:instrText xml:space="preserve"> REF _Ref215522625 \h </w:instrText>
      </w:r>
      <w:r w:rsidR="004854E3">
        <w:fldChar w:fldCharType="separate"/>
      </w:r>
      <w:r w:rsidRPr="00B44A50" w:rsidR="00543B3D">
        <w:t>Box</w:t>
      </w:r>
      <w:r w:rsidR="00543B3D">
        <w:t> </w:t>
      </w:r>
      <w:r w:rsidR="00543B3D">
        <w:rPr>
          <w:noProof/>
        </w:rPr>
        <w:t>3</w:t>
      </w:r>
      <w:r w:rsidR="00543B3D">
        <w:t>.</w:t>
      </w:r>
      <w:r w:rsidR="00543B3D">
        <w:rPr>
          <w:noProof/>
        </w:rPr>
        <w:t>11</w:t>
      </w:r>
      <w:r w:rsidR="004854E3">
        <w:fldChar w:fldCharType="end"/>
      </w:r>
      <w:r w:rsidR="00321077">
        <w:t xml:space="preserve">).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321077" w14:paraId="3A8D7632"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321077" w:rsidRDefault="00321077" w14:paraId="7DA54ABD" w14:textId="2C667002">
            <w:pPr>
              <w:pStyle w:val="Caption"/>
            </w:pPr>
            <w:bookmarkStart w:name="_Ref215522625" w:id="104"/>
            <w:bookmarkStart w:name="_Toc223413815" w:id="105"/>
            <w:r>
              <w:rPr>
                <w:noProof/>
              </w:rPr>
              <w:drawing>
                <wp:anchor distT="0" distB="0" distL="114300" distR="114300" simplePos="0" relativeHeight="251658297" behindDoc="1" locked="0" layoutInCell="1" allowOverlap="1" wp14:anchorId="5FFC2657" wp14:editId="2EFC3D83">
                  <wp:simplePos x="0" y="0"/>
                  <wp:positionH relativeFrom="column">
                    <wp:posOffset>4907671</wp:posOffset>
                  </wp:positionH>
                  <wp:positionV relativeFrom="paragraph">
                    <wp:posOffset>79082</wp:posOffset>
                  </wp:positionV>
                  <wp:extent cx="809625" cy="539750"/>
                  <wp:effectExtent l="0" t="0" r="9525" b="0"/>
                  <wp:wrapTight wrapText="bothSides">
                    <wp:wrapPolygon edited="0">
                      <wp:start x="0" y="0"/>
                      <wp:lineTo x="0" y="20584"/>
                      <wp:lineTo x="21346" y="20584"/>
                      <wp:lineTo x="21346" y="0"/>
                      <wp:lineTo x="0" y="0"/>
                    </wp:wrapPolygon>
                  </wp:wrapTight>
                  <wp:docPr id="206237260" name="Picture 7" descr="A red and white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37260" name="Picture 7" descr="A red and white flag&#10;&#10;AI-generated content may be incorrect."/>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09625"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11</w:t>
            </w:r>
            <w:r>
              <w:rPr>
                <w:noProof/>
              </w:rPr>
              <w:fldChar w:fldCharType="end"/>
            </w:r>
            <w:bookmarkEnd w:id="104"/>
            <w:r>
              <w:t xml:space="preserve">. </w:t>
            </w:r>
            <w:r w:rsidR="00A40062">
              <w:t>Austria – Once-Only Platform</w:t>
            </w:r>
            <w:bookmarkEnd w:id="105"/>
            <w:r w:rsidR="00A40062">
              <w:t xml:space="preserve"> </w:t>
            </w:r>
          </w:p>
          <w:p w:rsidR="00321077" w:rsidRDefault="00321077" w14:paraId="49312B7F" w14:textId="77777777">
            <w:pPr>
              <w:pStyle w:val="Para0"/>
              <w:rPr>
                <w:i/>
                <w:iCs/>
              </w:rPr>
            </w:pPr>
            <w:r w:rsidRPr="00832509">
              <w:rPr>
                <w:b/>
                <w:bCs/>
              </w:rPr>
              <w:t>Austria</w:t>
            </w:r>
            <w:r>
              <w:t xml:space="preserve">’s </w:t>
            </w:r>
            <w:r w:rsidRPr="00836B93">
              <w:rPr>
                <w:i/>
                <w:iCs/>
              </w:rPr>
              <w:t>Once-Only Platform</w:t>
            </w:r>
            <w:r>
              <w:t xml:space="preserve"> allows citizens and businesses to submit key data to public authorities just once, after which it is securely reused across services with full transparency and privacy safeguards. By eliminating repeated form-filling, reducing errors, and improving the speed and quality of public services, the platform demonstrates how well-designed data sharing frameworks can make government interactions simpler, more efficient and trustworthy. </w:t>
            </w:r>
          </w:p>
          <w:p w:rsidRPr="00864412" w:rsidR="00321077" w:rsidRDefault="00321077" w14:paraId="7E5E8445" w14:textId="77777777">
            <w:pPr>
              <w:pStyle w:val="Para0"/>
              <w:rPr>
                <w:b/>
                <w:bCs/>
                <w:lang w:val="en-US"/>
              </w:rPr>
            </w:pPr>
            <w:r>
              <w:rPr>
                <w:b/>
                <w:bCs/>
                <w:lang w:val="en-US"/>
              </w:rPr>
              <w:t>Good practices summary:</w:t>
            </w:r>
          </w:p>
          <w:p w:rsidRPr="00864412" w:rsidR="00321077" w:rsidRDefault="00321077" w14:paraId="0B0542CE" w14:textId="47C125EA">
            <w:pPr>
              <w:pStyle w:val="BulletedList"/>
              <w:rPr>
                <w:lang w:val="en-US"/>
              </w:rPr>
            </w:pPr>
            <w:r w:rsidRPr="00832509">
              <w:rPr>
                <w:b/>
                <w:bCs/>
                <w:lang w:val="en-US"/>
              </w:rPr>
              <w:t>Collect</w:t>
            </w:r>
            <w:r>
              <w:rPr>
                <w:lang w:val="en-US"/>
              </w:rPr>
              <w:t xml:space="preserve"> core personal or business </w:t>
            </w:r>
            <w:r w:rsidRPr="00832509">
              <w:rPr>
                <w:b/>
                <w:bCs/>
                <w:lang w:val="en-US"/>
              </w:rPr>
              <w:t>data at a single time</w:t>
            </w:r>
            <w:r>
              <w:rPr>
                <w:lang w:val="en-US"/>
              </w:rPr>
              <w:t xml:space="preserve"> from the user.</w:t>
            </w:r>
          </w:p>
          <w:p w:rsidRPr="00864412" w:rsidR="00321077" w:rsidRDefault="00321077" w14:paraId="63E09680" w14:textId="5211FDCB">
            <w:pPr>
              <w:pStyle w:val="BulletedList"/>
              <w:rPr>
                <w:lang w:val="en-US"/>
              </w:rPr>
            </w:pPr>
            <w:r w:rsidRPr="00832509">
              <w:rPr>
                <w:b/>
                <w:bCs/>
                <w:lang w:val="en-US"/>
              </w:rPr>
              <w:t>Store and manage this information securely</w:t>
            </w:r>
            <w:r>
              <w:rPr>
                <w:lang w:val="en-US"/>
              </w:rPr>
              <w:t xml:space="preserve"> in registers.</w:t>
            </w:r>
          </w:p>
          <w:p w:rsidRPr="00864412" w:rsidR="00321077" w:rsidRDefault="00321077" w14:paraId="39FA9926" w14:textId="213FF167">
            <w:pPr>
              <w:pStyle w:val="BulletedList"/>
              <w:rPr>
                <w:lang w:val="en-US"/>
              </w:rPr>
            </w:pPr>
            <w:r w:rsidRPr="00832509">
              <w:rPr>
                <w:b/>
                <w:bCs/>
                <w:lang w:val="en-US"/>
              </w:rPr>
              <w:t>Reuse data</w:t>
            </w:r>
            <w:r>
              <w:rPr>
                <w:lang w:val="en-US"/>
              </w:rPr>
              <w:t xml:space="preserve"> across different administrative services when needed.</w:t>
            </w:r>
          </w:p>
          <w:p w:rsidRPr="00CD451B" w:rsidR="00321077" w:rsidRDefault="00321077" w14:paraId="5DD208D1" w14:textId="2D1CD150">
            <w:pPr>
              <w:pStyle w:val="BulletedList"/>
            </w:pPr>
            <w:r w:rsidRPr="00832509">
              <w:rPr>
                <w:b/>
                <w:bCs/>
                <w:lang w:val="en-US"/>
              </w:rPr>
              <w:t>Enable seamless data exchange</w:t>
            </w:r>
            <w:r>
              <w:rPr>
                <w:lang w:val="en-US"/>
              </w:rPr>
              <w:t>, integrating multiple agencies’ systems</w:t>
            </w:r>
            <w:r w:rsidRPr="00864412">
              <w:rPr>
                <w:lang w:val="en-US"/>
              </w:rPr>
              <w:t>.</w:t>
            </w:r>
            <w:r>
              <w:rPr>
                <w:lang w:val="en-US"/>
              </w:rPr>
              <w:t xml:space="preserve"> </w:t>
            </w:r>
          </w:p>
          <w:p w:rsidRPr="00832509" w:rsidR="00321077" w:rsidRDefault="00321077" w14:paraId="2025380D" w14:textId="77777777">
            <w:pPr>
              <w:pStyle w:val="BulletedList"/>
            </w:pPr>
            <w:r w:rsidRPr="00832509">
              <w:rPr>
                <w:b/>
                <w:bCs/>
                <w:lang w:val="en-US"/>
              </w:rPr>
              <w:t>Ensure</w:t>
            </w:r>
            <w:r>
              <w:rPr>
                <w:lang w:val="en-US"/>
              </w:rPr>
              <w:t xml:space="preserve"> data sharing happens only with </w:t>
            </w:r>
            <w:r w:rsidRPr="00832509">
              <w:rPr>
                <w:b/>
                <w:bCs/>
                <w:lang w:val="en-US"/>
              </w:rPr>
              <w:t xml:space="preserve">user consent and </w:t>
            </w:r>
            <w:r>
              <w:rPr>
                <w:lang w:val="en-US"/>
              </w:rPr>
              <w:t xml:space="preserve">under </w:t>
            </w:r>
            <w:r w:rsidRPr="00832509">
              <w:rPr>
                <w:b/>
                <w:bCs/>
                <w:lang w:val="en-US"/>
              </w:rPr>
              <w:t>strict privacy rules</w:t>
            </w:r>
            <w:r w:rsidRPr="00864412">
              <w:rPr>
                <w:lang w:val="en-US"/>
              </w:rPr>
              <w:t>.</w:t>
            </w:r>
          </w:p>
          <w:p w:rsidRPr="00775FF9" w:rsidR="00672953" w:rsidP="00832509" w:rsidRDefault="00672953" w14:paraId="5DA914BD" w14:textId="51616BA1">
            <w:pPr>
              <w:pStyle w:val="Sourcenotes"/>
            </w:pPr>
            <w:r w:rsidRPr="001A57D8">
              <w:t xml:space="preserve">Source: Data collected through TSI Country Mission in </w:t>
            </w:r>
            <w:r>
              <w:t>Austria</w:t>
            </w:r>
            <w:r w:rsidRPr="001A57D8">
              <w:t>, 2025</w:t>
            </w:r>
            <w:r>
              <w:t>.</w:t>
            </w:r>
          </w:p>
        </w:tc>
      </w:tr>
    </w:tbl>
    <w:p w:rsidRPr="0078597A" w:rsidR="006D1A11" w:rsidP="00084041" w:rsidRDefault="00321077" w14:paraId="67498EEC" w14:textId="7407C1DA">
      <w:pPr>
        <w:pStyle w:val="Para"/>
        <w:numPr>
          <w:ilvl w:val="0"/>
          <w:numId w:val="0"/>
        </w:numPr>
      </w:pPr>
      <w:r w:rsidRPr="00832509">
        <w:rPr>
          <w:b/>
          <w:bCs/>
        </w:rPr>
        <w:t>A key bottleneck in relation to the implementation of the ‘Once-only principle’ relates to the need to engage further with Data Protection Commissioners with a view to identifying the key legal bottlenecks to further streamlining the sharing of data across Ministries and Departments.</w:t>
      </w:r>
      <w:r>
        <w:t xml:space="preserve"> By communicating with legal technical experts at the beginning of the design progress, countries can ensure the alignment of data infrastructure with data protection needs. </w:t>
      </w:r>
      <w:r w:rsidRPr="00832509" w:rsidR="006D1A11">
        <w:t>Data sharing through strong data infrastructure</w:t>
      </w:r>
      <w:r w:rsidRPr="00832509" w:rsidR="0078597A">
        <w:t xml:space="preserve"> that is interoperable</w:t>
      </w:r>
      <w:r w:rsidRPr="00832509" w:rsidR="006D1A11">
        <w:t xml:space="preserve"> is key for the implementation of the Once-Only Principle.</w:t>
      </w:r>
      <w:r w:rsidR="006D1A11">
        <w:rPr>
          <w:b/>
          <w:bCs/>
        </w:rPr>
        <w:t xml:space="preserve"> </w:t>
      </w:r>
      <w:r w:rsidR="00650D58">
        <w:t>For instance, i</w:t>
      </w:r>
      <w:r w:rsidR="0078597A">
        <w:t>n Estonia, the ‘X-Road’ data exchange layer is the core enabler for the application of the Once-Only Principle (</w:t>
      </w:r>
      <w:r w:rsidR="0078597A">
        <w:fldChar w:fldCharType="begin"/>
      </w:r>
      <w:r w:rsidR="0078597A">
        <w:instrText xml:space="preserve"> REF _Ref215520928 \h </w:instrText>
      </w:r>
      <w:r w:rsidR="0078597A">
        <w:fldChar w:fldCharType="separate"/>
      </w:r>
      <w:r w:rsidRPr="00B44A50" w:rsidR="00543B3D">
        <w:t>Box</w:t>
      </w:r>
      <w:r w:rsidR="00543B3D">
        <w:t> </w:t>
      </w:r>
      <w:r w:rsidR="00543B3D">
        <w:rPr>
          <w:noProof/>
        </w:rPr>
        <w:t>3</w:t>
      </w:r>
      <w:r w:rsidR="00543B3D">
        <w:t>.</w:t>
      </w:r>
      <w:r w:rsidR="00543B3D">
        <w:rPr>
          <w:noProof/>
        </w:rPr>
        <w:t>12</w:t>
      </w:r>
      <w:r w:rsidR="0078597A">
        <w:fldChar w:fldCharType="end"/>
      </w:r>
      <w:r w:rsidR="0078597A">
        <w:t>)</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033B20" w14:paraId="2363A6E0"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033B20" w:rsidRDefault="00033B20" w14:paraId="27CCF2E0" w14:textId="7231CAC9">
            <w:pPr>
              <w:pStyle w:val="Caption"/>
            </w:pPr>
            <w:bookmarkStart w:name="_Ref215520928" w:id="106"/>
            <w:bookmarkStart w:name="_Toc223413816" w:id="107"/>
            <w:r>
              <w:rPr>
                <w:noProof/>
              </w:rPr>
              <w:drawing>
                <wp:anchor distT="0" distB="0" distL="114300" distR="114300" simplePos="0" relativeHeight="251658298" behindDoc="1" locked="0" layoutInCell="1" allowOverlap="1" wp14:anchorId="4105AA87" wp14:editId="116BDE01">
                  <wp:simplePos x="0" y="0"/>
                  <wp:positionH relativeFrom="column">
                    <wp:posOffset>4756150</wp:posOffset>
                  </wp:positionH>
                  <wp:positionV relativeFrom="paragraph">
                    <wp:posOffset>53340</wp:posOffset>
                  </wp:positionV>
                  <wp:extent cx="1009015" cy="641350"/>
                  <wp:effectExtent l="0" t="0" r="635" b="6350"/>
                  <wp:wrapTight wrapText="bothSides">
                    <wp:wrapPolygon edited="0">
                      <wp:start x="0" y="0"/>
                      <wp:lineTo x="0" y="21172"/>
                      <wp:lineTo x="21206" y="21172"/>
                      <wp:lineTo x="21206" y="0"/>
                      <wp:lineTo x="0" y="0"/>
                    </wp:wrapPolygon>
                  </wp:wrapTight>
                  <wp:docPr id="34561356" name="Picture 1" descr="A blue and black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12193" name="Picture 1" descr="A blue and black flag&#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09015" cy="641350"/>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12</w:t>
            </w:r>
            <w:r>
              <w:rPr>
                <w:noProof/>
              </w:rPr>
              <w:fldChar w:fldCharType="end"/>
            </w:r>
            <w:bookmarkEnd w:id="106"/>
            <w:r>
              <w:t xml:space="preserve">. </w:t>
            </w:r>
            <w:r w:rsidR="00A40062">
              <w:t xml:space="preserve">Estonia - </w:t>
            </w:r>
            <w:r>
              <w:t>Simplification via platform technology and digital integration (X road and Once-Only)</w:t>
            </w:r>
            <w:bookmarkEnd w:id="107"/>
            <w:r>
              <w:t xml:space="preserve"> </w:t>
            </w:r>
          </w:p>
          <w:p w:rsidR="00033B20" w:rsidRDefault="00033B20" w14:paraId="7C8E5510" w14:textId="1982F2F6">
            <w:pPr>
              <w:pStyle w:val="Para0"/>
            </w:pPr>
            <w:r>
              <w:t>The X-Road national data exchange layer is the core enabler for “once-only”. It provides a secure, standardised way for databases and information systems to exchange data</w:t>
            </w:r>
            <w:r w:rsidR="00650D58">
              <w:t xml:space="preserve"> in </w:t>
            </w:r>
            <w:r w:rsidRPr="00832509" w:rsidR="00650D58">
              <w:rPr>
                <w:b/>
                <w:bCs/>
              </w:rPr>
              <w:t>Estonia</w:t>
            </w:r>
            <w:r w:rsidR="00650D58">
              <w:t>.</w:t>
            </w:r>
          </w:p>
          <w:p w:rsidR="00033B20" w:rsidRDefault="00033B20" w14:paraId="00FB3C48" w14:textId="2624918E">
            <w:pPr>
              <w:pStyle w:val="Para0"/>
            </w:pPr>
            <w:r>
              <w:t xml:space="preserve">From the citizen’s perspective, services are simplified thanks to pre-filled forms (fewer fields to complete), </w:t>
            </w:r>
            <w:r w:rsidR="0029264A">
              <w:t xml:space="preserve">there are </w:t>
            </w:r>
            <w:r>
              <w:t>no requirement</w:t>
            </w:r>
            <w:r w:rsidR="0029264A">
              <w:t>s</w:t>
            </w:r>
            <w:r>
              <w:t xml:space="preserve"> to understand the administrative geography (knowing which registry request data from), and predictability </w:t>
            </w:r>
            <w:r w:rsidR="0029264A">
              <w:t xml:space="preserve">is improved </w:t>
            </w:r>
            <w:r>
              <w:t>(same log-in, layouts and notifications).   Furthermore, by r</w:t>
            </w:r>
            <w:r w:rsidRPr="00C94498">
              <w:t>eus</w:t>
            </w:r>
            <w:r>
              <w:t>ing</w:t>
            </w:r>
            <w:r w:rsidRPr="00C94498">
              <w:t xml:space="preserve"> existing components (digital ID, X-Road, authentication) instead of rebuilding, </w:t>
            </w:r>
            <w:r>
              <w:t>design</w:t>
            </w:r>
            <w:r w:rsidRPr="00C94498">
              <w:t xml:space="preserve"> teams</w:t>
            </w:r>
            <w:r>
              <w:t xml:space="preserve"> in government can </w:t>
            </w:r>
            <w:r w:rsidRPr="00C94498">
              <w:t xml:space="preserve">spend time simplifying the </w:t>
            </w:r>
            <w:r w:rsidRPr="00C94498">
              <w:rPr>
                <w:i/>
                <w:iCs/>
              </w:rPr>
              <w:t>user</w:t>
            </w:r>
            <w:r w:rsidRPr="00C94498">
              <w:t xml:space="preserve"> side</w:t>
            </w:r>
            <w:r>
              <w:t>.</w:t>
            </w:r>
          </w:p>
          <w:p w:rsidR="00033B20" w:rsidRDefault="00033B20" w14:paraId="41443D58" w14:textId="77777777">
            <w:pPr>
              <w:pStyle w:val="Para0"/>
            </w:pPr>
            <w:r>
              <w:rPr>
                <w:noProof/>
              </w:rPr>
              <w:drawing>
                <wp:anchor distT="0" distB="0" distL="114300" distR="114300" simplePos="0" relativeHeight="251658299" behindDoc="0" locked="0" layoutInCell="1" allowOverlap="1" wp14:anchorId="7230817C" wp14:editId="49E469EF">
                  <wp:simplePos x="0" y="0"/>
                  <wp:positionH relativeFrom="column">
                    <wp:posOffset>1297262</wp:posOffset>
                  </wp:positionH>
                  <wp:positionV relativeFrom="paragraph">
                    <wp:posOffset>622935</wp:posOffset>
                  </wp:positionV>
                  <wp:extent cx="3060700" cy="2950845"/>
                  <wp:effectExtent l="0" t="0" r="6350" b="1905"/>
                  <wp:wrapTopAndBottom/>
                  <wp:docPr id="172085167" name="Picture 1" descr="A diagram of a clou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014115" name="Picture 1" descr="A diagram of a cloud&#10;&#10;AI-generated content may be incorrect."/>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060700" cy="2950845"/>
                          </a:xfrm>
                          <a:prstGeom prst="rect">
                            <a:avLst/>
                          </a:prstGeom>
                          <a:noFill/>
                        </pic:spPr>
                      </pic:pic>
                    </a:graphicData>
                  </a:graphic>
                  <wp14:sizeRelH relativeFrom="page">
                    <wp14:pctWidth>0</wp14:pctWidth>
                  </wp14:sizeRelH>
                  <wp14:sizeRelV relativeFrom="page">
                    <wp14:pctHeight>0</wp14:pctHeight>
                  </wp14:sizeRelV>
                </wp:anchor>
              </w:drawing>
            </w:r>
            <w:r w:rsidRPr="00AE6600">
              <w:t xml:space="preserve">Estonia’s </w:t>
            </w:r>
            <w:r w:rsidRPr="00DE1C9A">
              <w:rPr>
                <w:i/>
              </w:rPr>
              <w:t>Digital Agenda 2030</w:t>
            </w:r>
            <w:r w:rsidRPr="00AE6600">
              <w:t xml:space="preserve"> and Digital Decade roadmap explicitly commit to common directions, interoperability requirements and reuse of common components to “avoid duplication” and keep services convenient and available everywhere.</w:t>
            </w:r>
          </w:p>
          <w:p w:rsidR="00033B20" w:rsidRDefault="00033B20" w14:paraId="71F232BB" w14:textId="77777777">
            <w:pPr>
              <w:pStyle w:val="Sourcenotes"/>
            </w:pPr>
          </w:p>
          <w:p w:rsidRPr="00775FF9" w:rsidR="00033B20" w:rsidRDefault="00033B20" w14:paraId="73912C76" w14:textId="77777777">
            <w:pPr>
              <w:pStyle w:val="Sourcenotes"/>
            </w:pPr>
            <w:r>
              <w:t>Source: Data collected through TSI Country Mission to Estonia, October 2025.</w:t>
            </w:r>
          </w:p>
        </w:tc>
      </w:tr>
    </w:tbl>
    <w:p w:rsidR="00321077" w:rsidP="0078597A" w:rsidRDefault="0035594B" w14:paraId="04D13623" w14:textId="45262784">
      <w:pPr>
        <w:pStyle w:val="Heading4"/>
      </w:pPr>
      <w:r>
        <w:t xml:space="preserve">Making user data and documentation available in one place </w:t>
      </w:r>
    </w:p>
    <w:p w:rsidR="00CF468B" w:rsidP="004E6A97" w:rsidRDefault="0035594B" w14:paraId="4AA42D55" w14:textId="52098902">
      <w:pPr>
        <w:pStyle w:val="Para"/>
        <w:numPr>
          <w:ilvl w:val="0"/>
          <w:numId w:val="0"/>
        </w:numPr>
      </w:pPr>
      <w:r w:rsidRPr="00832509">
        <w:rPr>
          <w:b/>
          <w:bCs/>
        </w:rPr>
        <w:t>In</w:t>
      </w:r>
      <w:r w:rsidRPr="00832509" w:rsidR="004E6A97">
        <w:rPr>
          <w:b/>
          <w:bCs/>
        </w:rPr>
        <w:t xml:space="preserve">tegrated services also aim to support users in accessing and navigating information in one place. </w:t>
      </w:r>
      <w:r w:rsidR="00830EB0">
        <w:t xml:space="preserve">The use of multiple channels to progress with an application is also an important factor when thinking of the integration of public services. </w:t>
      </w:r>
      <w:r w:rsidRPr="004E6A97" w:rsidR="000378EB">
        <w:rPr>
          <w:b/>
          <w:bCs/>
        </w:rPr>
        <w:t>51% of users across the EU-10 agreed that they did not have to use more than one channel to progress with their application</w:t>
      </w:r>
      <w:r w:rsidRPr="004E6A97" w:rsidR="006E49E4">
        <w:rPr>
          <w:b/>
          <w:bCs/>
        </w:rPr>
        <w:t>, with 32% having to use more than one channel</w:t>
      </w:r>
      <w:r w:rsidR="006E49E4">
        <w:t xml:space="preserve">. </w:t>
      </w:r>
      <w:r w:rsidR="003358E8">
        <w:t>A considerable variation in the use of multiple channels exists depending on the Life Event experienced</w:t>
      </w:r>
      <w:r w:rsidR="004E6A97">
        <w:t xml:space="preserve"> (</w:t>
      </w:r>
      <w:r w:rsidR="004E6A97">
        <w:fldChar w:fldCharType="begin"/>
      </w:r>
      <w:r w:rsidR="004E6A97">
        <w:instrText xml:space="preserve"> REF _Ref215521065 \h </w:instrText>
      </w:r>
      <w:r w:rsidR="004E6A97">
        <w:fldChar w:fldCharType="separate"/>
      </w:r>
      <w:r w:rsidR="00543B3D">
        <w:t>Figure </w:t>
      </w:r>
      <w:r w:rsidR="00543B3D">
        <w:rPr>
          <w:noProof/>
        </w:rPr>
        <w:t>3</w:t>
      </w:r>
      <w:r w:rsidR="00543B3D">
        <w:t>.</w:t>
      </w:r>
      <w:r w:rsidR="00543B3D">
        <w:rPr>
          <w:noProof/>
        </w:rPr>
        <w:t>5</w:t>
      </w:r>
      <w:r w:rsidR="004E6A97">
        <w:fldChar w:fldCharType="end"/>
      </w:r>
      <w:r w:rsidR="004E6A97">
        <w:t>)</w:t>
      </w:r>
      <w:r w:rsidR="003358E8">
        <w:t>.</w:t>
      </w:r>
      <w:r w:rsidR="004D62CB">
        <w:t xml:space="preserve"> Life Events that require less interactions with administrations and that include </w:t>
      </w:r>
      <w:r w:rsidR="00893E8F">
        <w:t xml:space="preserve">less steps require less use of multiple channels. For example, 64% of users who filed income taxes only used one channel to progress with their application, with 59% of users who got or renewed their official ID document also only using one channel. </w:t>
      </w:r>
      <w:r w:rsidR="00DD2C08">
        <w:t>Where Life Events are considerabl</w:t>
      </w:r>
      <w:r w:rsidR="00DA1947">
        <w:t>y</w:t>
      </w:r>
      <w:r w:rsidR="00DD2C08">
        <w:t xml:space="preserve"> more ‘complex’ due to the multiplicity of services and providers, users had to use multiple channels to progress with their application. </w:t>
      </w:r>
      <w:r w:rsidR="00DD2C08">
        <w:t xml:space="preserve">Only 32% of users who lost a loved one </w:t>
      </w:r>
      <w:r w:rsidR="007729A0">
        <w:t xml:space="preserve">and 35% of users who lost/looked for a job had to use only one channel to progress. </w:t>
      </w:r>
    </w:p>
    <w:p w:rsidR="00AB1DE8" w:rsidP="00305C96" w:rsidRDefault="00AB1DE8" w14:paraId="4C8C7975" w14:textId="4CC0C703">
      <w:pPr>
        <w:pStyle w:val="Caption"/>
      </w:pPr>
      <w:bookmarkStart w:name="_Ref215521065" w:id="108"/>
      <w:bookmarkStart w:name="_Toc223413768" w:id="109"/>
      <w:r>
        <w:t>Figure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5</w:t>
      </w:r>
      <w:r>
        <w:rPr>
          <w:noProof/>
        </w:rPr>
        <w:fldChar w:fldCharType="end"/>
      </w:r>
      <w:bookmarkEnd w:id="108"/>
      <w:r>
        <w:t xml:space="preserve">. </w:t>
      </w:r>
      <w:r w:rsidR="00321077">
        <w:t>A variation exists in the need to use more than one channel to progress with an application, depending on the Life Event</w:t>
      </w:r>
      <w:bookmarkEnd w:id="109"/>
      <w:r w:rsidR="00321077">
        <w:t xml:space="preserve"> </w:t>
      </w:r>
    </w:p>
    <w:p w:rsidR="00AB1DE8" w:rsidP="00AB1DE8" w:rsidRDefault="00871B9B" w14:paraId="2BFBB957" w14:textId="58003B8B">
      <w:pPr>
        <w:pStyle w:val="Figure"/>
        <w:rPr>
          <w:noProof/>
        </w:rPr>
      </w:pPr>
      <w:r>
        <w:rPr>
          <w:noProof/>
        </w:rPr>
        <w:drawing>
          <wp:inline distT="0" distB="0" distL="0" distR="0" wp14:anchorId="52AE8549" wp14:editId="57955104">
            <wp:extent cx="5904230" cy="4165600"/>
            <wp:effectExtent l="0" t="0" r="1270" b="6350"/>
            <wp:docPr id="2529588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04230" cy="4165600"/>
                    </a:xfrm>
                    <a:prstGeom prst="rect">
                      <a:avLst/>
                    </a:prstGeom>
                    <a:noFill/>
                    <a:ln>
                      <a:noFill/>
                    </a:ln>
                  </pic:spPr>
                </pic:pic>
              </a:graphicData>
            </a:graphic>
          </wp:inline>
        </w:drawing>
      </w:r>
    </w:p>
    <w:p w:rsidRPr="004802B4" w:rsidR="00AB1DE8" w:rsidP="00305C96" w:rsidRDefault="00AB1DE8" w14:paraId="79BFEB93" w14:textId="678423E6">
      <w:pPr>
        <w:pStyle w:val="Sourcenotes"/>
      </w:pPr>
      <w:r w:rsidRPr="004802B4">
        <w:t>Note:</w:t>
      </w:r>
      <w:r w:rsidR="00321077">
        <w:t xml:space="preserve"> Question: </w:t>
      </w:r>
      <w:r w:rsidRPr="004802B4">
        <w:t xml:space="preserve"> </w:t>
      </w:r>
      <w:r w:rsidRPr="00347C74">
        <w:t>I did not have to use more than one channel to progress with my application</w:t>
      </w:r>
    </w:p>
    <w:p w:rsidR="00F469FB" w:rsidP="00305C96" w:rsidRDefault="00AB1DE8" w14:paraId="15B3E949" w14:textId="143DABA4">
      <w:pPr>
        <w:pStyle w:val="Sourcenotes"/>
      </w:pPr>
      <w:r w:rsidRPr="00CE38FC">
        <w:rPr>
          <w:lang w:val="en-US"/>
        </w:rPr>
        <w:t xml:space="preserve">Source: </w:t>
      </w:r>
      <w:r w:rsidRPr="00CE38FC" w:rsidR="00321077">
        <w:rPr>
          <w:lang w:val="en-US"/>
        </w:rPr>
        <w:t>TSI Satisfaction Survey, 2024</w:t>
      </w:r>
    </w:p>
    <w:p w:rsidR="004E6A97" w:rsidP="004E6A97" w:rsidRDefault="00F4291B" w14:paraId="434DB464" w14:textId="5C63E453">
      <w:pPr>
        <w:pStyle w:val="Para0"/>
      </w:pPr>
      <w:r w:rsidRPr="00832509">
        <w:rPr>
          <w:b/>
          <w:bCs/>
        </w:rPr>
        <w:t>By removing the back-office interaction between different services providers, users perceive also a further integration of services.</w:t>
      </w:r>
      <w:r>
        <w:t xml:space="preserve"> </w:t>
      </w:r>
      <w:r w:rsidR="00DD0C27">
        <w:t>56% of users on average across the EU-10 did not have to contact different public service(s) to progress with their application</w:t>
      </w:r>
      <w:r w:rsidR="00607C19">
        <w:t xml:space="preserve">, with 26% having to contact multiple services. Similarly to the use of more than one channel to progress with the user’s application, a variation exists in relation to the Life Events experienced. </w:t>
      </w:r>
      <w:r w:rsidR="006910D0">
        <w:t xml:space="preserve">While 70% of users who got or renewed an official ID and 69% of users </w:t>
      </w:r>
      <w:r w:rsidR="005863D7">
        <w:t>had to contact one public service to progress with their application</w:t>
      </w:r>
      <w:r w:rsidR="00B85890">
        <w:t xml:space="preserve">, the situation for users experiencing Life Events with several services is quite different. </w:t>
      </w:r>
      <w:r w:rsidR="005863D7">
        <w:t>Only 31% of users who lost a loved one</w:t>
      </w:r>
      <w:r w:rsidR="006E7E2B">
        <w:t xml:space="preserve"> and 40% of users who had a baby</w:t>
      </w:r>
      <w:r w:rsidR="005863D7">
        <w:t xml:space="preserve"> contacted one public service to progress with their </w:t>
      </w:r>
      <w:r w:rsidR="006E7E2B">
        <w:t xml:space="preserve">application. </w:t>
      </w:r>
    </w:p>
    <w:p w:rsidR="00FF7821" w:rsidP="00305C96" w:rsidRDefault="00FF7821" w14:paraId="78732DC2" w14:textId="10E2BA94">
      <w:pPr>
        <w:pStyle w:val="Caption"/>
      </w:pPr>
      <w:bookmarkStart w:name="_Toc223413769" w:id="110"/>
      <w:r>
        <w:t>Figure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6</w:t>
      </w:r>
      <w:r>
        <w:rPr>
          <w:noProof/>
        </w:rPr>
        <w:fldChar w:fldCharType="end"/>
      </w:r>
      <w:r>
        <w:t xml:space="preserve">. </w:t>
      </w:r>
      <w:r w:rsidR="00AB1B1C">
        <w:t>Contacting different public services to progress with a user’s application varies across Life Events</w:t>
      </w:r>
      <w:bookmarkEnd w:id="110"/>
      <w:r w:rsidR="00AB1B1C">
        <w:t xml:space="preserve"> </w:t>
      </w:r>
    </w:p>
    <w:p w:rsidR="00FF7821" w:rsidP="00FF7821" w:rsidRDefault="00FF7821" w14:paraId="51481EC5" w14:textId="4CC26996">
      <w:pPr>
        <w:pStyle w:val="Figure"/>
        <w:rPr>
          <w:noProof/>
        </w:rPr>
      </w:pPr>
      <w:r>
        <w:rPr>
          <w:noProof/>
        </w:rPr>
        <w:drawing>
          <wp:inline distT="0" distB="0" distL="0" distR="0" wp14:anchorId="7D5ACC24" wp14:editId="54A6F231">
            <wp:extent cx="5904230" cy="4165600"/>
            <wp:effectExtent l="0" t="0" r="1270" b="6350"/>
            <wp:docPr id="7269860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04230" cy="4165600"/>
                    </a:xfrm>
                    <a:prstGeom prst="rect">
                      <a:avLst/>
                    </a:prstGeom>
                    <a:noFill/>
                    <a:ln>
                      <a:noFill/>
                    </a:ln>
                  </pic:spPr>
                </pic:pic>
              </a:graphicData>
            </a:graphic>
          </wp:inline>
        </w:drawing>
      </w:r>
    </w:p>
    <w:p w:rsidRPr="004802B4" w:rsidR="00FF7821" w:rsidP="00305C96" w:rsidRDefault="00FF7821" w14:paraId="50593D89" w14:textId="693FECB3">
      <w:pPr>
        <w:pStyle w:val="Sourcenotes"/>
      </w:pPr>
      <w:r w:rsidRPr="004802B4">
        <w:t xml:space="preserve">Note: </w:t>
      </w:r>
      <w:r w:rsidR="00AB1B1C">
        <w:t xml:space="preserve">Question: </w:t>
      </w:r>
      <w:r w:rsidRPr="0073790D">
        <w:t>I did not have to contact different public service(s) to progress with my application</w:t>
      </w:r>
    </w:p>
    <w:p w:rsidRPr="00654262" w:rsidR="00C6059F" w:rsidP="00305C96" w:rsidRDefault="00FF7821" w14:paraId="4DCF0614" w14:textId="09817965">
      <w:pPr>
        <w:pStyle w:val="Sourcenotes"/>
        <w:rPr>
          <w:lang w:val="en-US"/>
        </w:rPr>
      </w:pPr>
      <w:r w:rsidRPr="00654262">
        <w:rPr>
          <w:lang w:val="en-US"/>
        </w:rPr>
        <w:t xml:space="preserve">Source: </w:t>
      </w:r>
      <w:r w:rsidRPr="00654262" w:rsidR="00AB1B1C">
        <w:rPr>
          <w:lang w:val="en-US"/>
        </w:rPr>
        <w:t>TSI Satisfaction Survey 2024</w:t>
      </w:r>
    </w:p>
    <w:p w:rsidR="00851EF9" w:rsidP="00126E36" w:rsidRDefault="00851EF9" w14:paraId="76BD77C8" w14:textId="4CEBE332">
      <w:pPr>
        <w:pStyle w:val="Para"/>
        <w:numPr>
          <w:ilvl w:val="0"/>
          <w:numId w:val="0"/>
        </w:numPr>
        <w:rPr>
          <w:lang w:val="en-US"/>
        </w:rPr>
      </w:pPr>
      <w:r>
        <w:rPr>
          <w:lang w:val="en-US"/>
        </w:rPr>
        <w:t xml:space="preserve">To support </w:t>
      </w:r>
      <w:r w:rsidR="0082174C">
        <w:rPr>
          <w:lang w:val="en-US"/>
        </w:rPr>
        <w:t xml:space="preserve">users in not having to contact different public services to receive their data, Spain has </w:t>
      </w:r>
      <w:r w:rsidR="00B268E5">
        <w:rPr>
          <w:lang w:val="en-US"/>
        </w:rPr>
        <w:t>developed a personalized digital dashboard allowing citizens to access their official records and ongoing administrative procedures in one place (</w:t>
      </w:r>
      <w:r w:rsidR="00B268E5">
        <w:rPr>
          <w:lang w:val="en-US"/>
        </w:rPr>
        <w:fldChar w:fldCharType="begin"/>
      </w:r>
      <w:r w:rsidR="00B268E5">
        <w:rPr>
          <w:lang w:val="en-US"/>
        </w:rPr>
        <w:instrText xml:space="preserve"> REF _Ref215524425 \h </w:instrText>
      </w:r>
      <w:r w:rsidR="00B268E5">
        <w:rPr>
          <w:lang w:val="en-US"/>
        </w:rPr>
      </w:r>
      <w:r w:rsidR="00B268E5">
        <w:rPr>
          <w:lang w:val="en-US"/>
        </w:rPr>
        <w:fldChar w:fldCharType="separate"/>
      </w:r>
      <w:r w:rsidRPr="00B44A50" w:rsidR="00543B3D">
        <w:t>Box</w:t>
      </w:r>
      <w:r w:rsidR="00543B3D">
        <w:t> </w:t>
      </w:r>
      <w:r w:rsidR="00543B3D">
        <w:rPr>
          <w:noProof/>
        </w:rPr>
        <w:t>3</w:t>
      </w:r>
      <w:r w:rsidR="00543B3D">
        <w:t>.</w:t>
      </w:r>
      <w:r w:rsidR="00543B3D">
        <w:rPr>
          <w:noProof/>
        </w:rPr>
        <w:t>13</w:t>
      </w:r>
      <w:r w:rsidR="00B268E5">
        <w:rPr>
          <w:lang w:val="en-US"/>
        </w:rPr>
        <w:fldChar w:fldCharType="end"/>
      </w:r>
      <w:r w:rsidR="00B268E5">
        <w:rPr>
          <w:lang w:val="en-US"/>
        </w:rPr>
        <w:t xml:space="preserve">).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82174C" w14:paraId="1D9B4CBA"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82174C" w:rsidRDefault="0082174C" w14:paraId="5D5781E7" w14:textId="76983E7D">
            <w:pPr>
              <w:pStyle w:val="Caption"/>
            </w:pPr>
            <w:bookmarkStart w:name="_Ref215524425" w:id="111"/>
            <w:bookmarkStart w:name="_Toc223413817" w:id="112"/>
            <w:r>
              <w:rPr>
                <w:noProof/>
              </w:rPr>
              <w:drawing>
                <wp:anchor distT="0" distB="0" distL="114300" distR="114300" simplePos="0" relativeHeight="251658300" behindDoc="1" locked="0" layoutInCell="1" allowOverlap="1" wp14:anchorId="69DB455F" wp14:editId="1C014A7F">
                  <wp:simplePos x="0" y="0"/>
                  <wp:positionH relativeFrom="column">
                    <wp:posOffset>4699293</wp:posOffset>
                  </wp:positionH>
                  <wp:positionV relativeFrom="paragraph">
                    <wp:posOffset>123580</wp:posOffset>
                  </wp:positionV>
                  <wp:extent cx="974725" cy="648335"/>
                  <wp:effectExtent l="0" t="0" r="0" b="0"/>
                  <wp:wrapTight wrapText="bothSides">
                    <wp:wrapPolygon edited="0">
                      <wp:start x="0" y="0"/>
                      <wp:lineTo x="0" y="20944"/>
                      <wp:lineTo x="21107" y="20944"/>
                      <wp:lineTo x="21107" y="0"/>
                      <wp:lineTo x="0" y="0"/>
                    </wp:wrapPolygon>
                  </wp:wrapTight>
                  <wp:docPr id="945111147" name="Picture 1" descr="A flag with a red and yellow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111147" name="Picture 1" descr="A flag with a red and yellow stripe&#10;&#10;AI-generated content may be incorrec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974725" cy="648335"/>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13</w:t>
            </w:r>
            <w:r>
              <w:rPr>
                <w:noProof/>
              </w:rPr>
              <w:fldChar w:fldCharType="end"/>
            </w:r>
            <w:bookmarkEnd w:id="111"/>
            <w:r>
              <w:t xml:space="preserve">. </w:t>
            </w:r>
            <w:r w:rsidR="00A40062">
              <w:t xml:space="preserve">Spain - </w:t>
            </w:r>
            <w:r>
              <w:t>Development of one single portal for citizen’s official data</w:t>
            </w:r>
            <w:bookmarkEnd w:id="112"/>
          </w:p>
          <w:p w:rsidRPr="00FA5D77" w:rsidR="0082174C" w:rsidRDefault="0082174C" w14:paraId="2AA18109" w14:textId="77777777">
            <w:pPr>
              <w:pStyle w:val="Para0"/>
              <w:rPr>
                <w:i/>
                <w:iCs/>
                <w:lang w:val="en-US"/>
              </w:rPr>
            </w:pPr>
            <w:r w:rsidRPr="001C353B">
              <w:rPr>
                <w:i/>
                <w:iCs/>
                <w:lang w:val="en-US"/>
              </w:rPr>
              <w:t>Mi Carpeta Ciudadana</w:t>
            </w:r>
            <w:r w:rsidRPr="00D33A11">
              <w:rPr>
                <w:lang w:val="en-US"/>
              </w:rPr>
              <w:t xml:space="preserve"> is </w:t>
            </w:r>
            <w:r w:rsidRPr="00832509">
              <w:rPr>
                <w:b/>
                <w:bCs/>
                <w:lang w:val="en-US"/>
              </w:rPr>
              <w:t>Spain</w:t>
            </w:r>
            <w:r w:rsidRPr="00D33A11">
              <w:rPr>
                <w:lang w:val="en-US"/>
              </w:rPr>
              <w:t>’s personalized digital dashboard th</w:t>
            </w:r>
            <w:r>
              <w:rPr>
                <w:lang w:val="en-US"/>
              </w:rPr>
              <w:t xml:space="preserve">at allows individuals to access their official records, documents, notifications and ongoing administrative procedures in one unified space. It centralizes information that was previously scattered across different platforms, improves transparency and gives citizens easy, mobile-friendly control over their interactions with the public administration. By integrating data from different levels of government, it delivers seamless and user-centric digital experience. </w:t>
            </w:r>
          </w:p>
          <w:p w:rsidRPr="00864412" w:rsidR="0082174C" w:rsidRDefault="0082174C" w14:paraId="10E0132F" w14:textId="77777777">
            <w:pPr>
              <w:pStyle w:val="Para0"/>
              <w:rPr>
                <w:b/>
                <w:bCs/>
                <w:lang w:val="en-US"/>
              </w:rPr>
            </w:pPr>
            <w:r>
              <w:rPr>
                <w:b/>
                <w:bCs/>
                <w:lang w:val="en-US"/>
              </w:rPr>
              <w:t>Good practices summary:</w:t>
            </w:r>
          </w:p>
          <w:p w:rsidR="0082174C" w:rsidRDefault="0082174C" w14:paraId="7F4CBA0A" w14:textId="36B4EEB9">
            <w:pPr>
              <w:pStyle w:val="BulletedList"/>
              <w:rPr>
                <w:lang w:val="en-US"/>
              </w:rPr>
            </w:pPr>
            <w:r w:rsidRPr="00832509">
              <w:rPr>
                <w:b/>
                <w:bCs/>
                <w:lang w:val="en-US"/>
              </w:rPr>
              <w:t>Aggregate</w:t>
            </w:r>
            <w:r>
              <w:rPr>
                <w:lang w:val="en-US"/>
              </w:rPr>
              <w:t xml:space="preserve"> a citizen’s official data, documents and certificates </w:t>
            </w:r>
            <w:r w:rsidRPr="00832509">
              <w:rPr>
                <w:b/>
                <w:bCs/>
                <w:lang w:val="en-US"/>
              </w:rPr>
              <w:t>in</w:t>
            </w:r>
            <w:r>
              <w:rPr>
                <w:lang w:val="en-US"/>
              </w:rPr>
              <w:t xml:space="preserve"> </w:t>
            </w:r>
            <w:r w:rsidRPr="00832509">
              <w:rPr>
                <w:b/>
                <w:bCs/>
                <w:lang w:val="en-US"/>
              </w:rPr>
              <w:t>one portal</w:t>
            </w:r>
            <w:r>
              <w:rPr>
                <w:lang w:val="en-US"/>
              </w:rPr>
              <w:t>.</w:t>
            </w:r>
          </w:p>
          <w:p w:rsidR="0082174C" w:rsidRDefault="0082174C" w14:paraId="3D8A1086" w14:textId="56370B38">
            <w:pPr>
              <w:pStyle w:val="BulletedList"/>
              <w:rPr>
                <w:lang w:val="en-US"/>
              </w:rPr>
            </w:pPr>
            <w:r w:rsidRPr="00832509">
              <w:rPr>
                <w:b/>
                <w:bCs/>
                <w:lang w:val="en-US"/>
              </w:rPr>
              <w:t>Display</w:t>
            </w:r>
            <w:r>
              <w:rPr>
                <w:lang w:val="en-US"/>
              </w:rPr>
              <w:t xml:space="preserve"> active procedures, deadlines and pending actions </w:t>
            </w:r>
            <w:r w:rsidRPr="00832509">
              <w:rPr>
                <w:b/>
                <w:bCs/>
                <w:lang w:val="en-US"/>
              </w:rPr>
              <w:t>in real time</w:t>
            </w:r>
            <w:r>
              <w:rPr>
                <w:lang w:val="en-US"/>
              </w:rPr>
              <w:t>.</w:t>
            </w:r>
          </w:p>
          <w:p w:rsidR="0082174C" w:rsidRDefault="0082174C" w14:paraId="74A8C2B6" w14:textId="18B63F49">
            <w:pPr>
              <w:pStyle w:val="BulletedList"/>
              <w:rPr>
                <w:lang w:val="en-US"/>
              </w:rPr>
            </w:pPr>
            <w:r w:rsidRPr="00832509">
              <w:rPr>
                <w:b/>
                <w:bCs/>
                <w:lang w:val="en-US"/>
              </w:rPr>
              <w:t>Allow users to download official documents</w:t>
            </w:r>
            <w:r>
              <w:rPr>
                <w:lang w:val="en-US"/>
              </w:rPr>
              <w:t xml:space="preserve"> without e-requesting them. </w:t>
            </w:r>
          </w:p>
          <w:p w:rsidRPr="00873B08" w:rsidR="0082174C" w:rsidRDefault="0082174C" w14:paraId="0942BEC0" w14:textId="22A68221">
            <w:pPr>
              <w:pStyle w:val="BulletedList"/>
            </w:pPr>
            <w:r w:rsidRPr="00832509">
              <w:rPr>
                <w:b/>
                <w:bCs/>
                <w:lang w:val="en-US"/>
              </w:rPr>
              <w:t>Show notifications and messages</w:t>
            </w:r>
            <w:r w:rsidRPr="00873B08">
              <w:rPr>
                <w:lang w:val="en-US"/>
              </w:rPr>
              <w:t xml:space="preserve"> from different public bodies </w:t>
            </w:r>
            <w:r w:rsidRPr="00832509">
              <w:rPr>
                <w:b/>
                <w:bCs/>
                <w:lang w:val="en-US"/>
              </w:rPr>
              <w:t>in one inbox</w:t>
            </w:r>
            <w:r w:rsidRPr="00873B08">
              <w:rPr>
                <w:lang w:val="en-US"/>
              </w:rPr>
              <w:t xml:space="preserve">. </w:t>
            </w:r>
          </w:p>
          <w:p w:rsidR="0082174C" w:rsidRDefault="0082174C" w14:paraId="609C7E53" w14:textId="68DADEB6">
            <w:pPr>
              <w:pStyle w:val="BulletedList"/>
            </w:pPr>
            <w:r w:rsidRPr="00832509">
              <w:rPr>
                <w:b/>
                <w:bCs/>
                <w:lang w:val="en-US"/>
              </w:rPr>
              <w:t>Provide a mobile app</w:t>
            </w:r>
            <w:r w:rsidRPr="00873B08">
              <w:rPr>
                <w:lang w:val="en-US"/>
              </w:rPr>
              <w:t xml:space="preserve"> for quick access and identification verification (using </w:t>
            </w:r>
            <w:r w:rsidRPr="00873B08">
              <w:rPr>
                <w:i/>
                <w:iCs/>
                <w:lang w:val="en-US"/>
              </w:rPr>
              <w:t>Clave</w:t>
            </w:r>
            <w:r w:rsidRPr="00873B08">
              <w:rPr>
                <w:lang w:val="en-US"/>
              </w:rPr>
              <w:t>).</w:t>
            </w:r>
          </w:p>
          <w:p w:rsidRPr="00775FF9" w:rsidR="0082174C" w:rsidRDefault="0082174C" w14:paraId="6EA7274B" w14:textId="77777777">
            <w:pPr>
              <w:pStyle w:val="Sourcenotes"/>
            </w:pPr>
            <w:r>
              <w:t>Source: Data gathered through TSI Mission in Spain in March 2025.</w:t>
            </w:r>
          </w:p>
        </w:tc>
      </w:tr>
    </w:tbl>
    <w:p w:rsidR="00B96138" w:rsidP="00126E36" w:rsidRDefault="00B96138" w14:paraId="0AE9C590" w14:textId="4E75F44A">
      <w:pPr>
        <w:pStyle w:val="Para"/>
        <w:numPr>
          <w:ilvl w:val="0"/>
          <w:numId w:val="0"/>
        </w:numPr>
        <w:rPr>
          <w:lang w:val="en-US"/>
        </w:rPr>
      </w:pPr>
      <w:r>
        <w:rPr>
          <w:lang w:val="en-US"/>
        </w:rPr>
        <w:t xml:space="preserve">For businesses, Latvia’s Register of Enterprises </w:t>
      </w:r>
      <w:r w:rsidR="006D3432">
        <w:rPr>
          <w:lang w:val="en-US"/>
        </w:rPr>
        <w:t>provides fast, reliable and transparent access to company data (</w:t>
      </w:r>
      <w:r w:rsidR="006D3432">
        <w:rPr>
          <w:lang w:val="en-US"/>
        </w:rPr>
        <w:fldChar w:fldCharType="begin"/>
      </w:r>
      <w:r w:rsidR="006D3432">
        <w:rPr>
          <w:lang w:val="en-US"/>
        </w:rPr>
        <w:instrText xml:space="preserve"> REF _Ref215516314 \h </w:instrText>
      </w:r>
      <w:r w:rsidR="006D3432">
        <w:rPr>
          <w:lang w:val="en-US"/>
        </w:rPr>
      </w:r>
      <w:r w:rsidR="006D3432">
        <w:rPr>
          <w:lang w:val="en-US"/>
        </w:rPr>
        <w:fldChar w:fldCharType="separate"/>
      </w:r>
      <w:r w:rsidRPr="00B44A50" w:rsidR="00543B3D">
        <w:t>Box</w:t>
      </w:r>
      <w:r w:rsidR="00543B3D">
        <w:t> </w:t>
      </w:r>
      <w:r w:rsidR="00543B3D">
        <w:rPr>
          <w:noProof/>
        </w:rPr>
        <w:t>3</w:t>
      </w:r>
      <w:r w:rsidR="00543B3D">
        <w:t>.</w:t>
      </w:r>
      <w:r w:rsidR="00543B3D">
        <w:rPr>
          <w:noProof/>
        </w:rPr>
        <w:t>14</w:t>
      </w:r>
      <w:r w:rsidR="006D3432">
        <w:rPr>
          <w:lang w:val="en-US"/>
        </w:rPr>
        <w:fldChar w:fldCharType="end"/>
      </w:r>
      <w:r w:rsidR="006D3432">
        <w:rPr>
          <w:lang w:val="en-US"/>
        </w:rPr>
        <w:t>)</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B96138" w14:paraId="41A80EB0"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B96138" w:rsidRDefault="00B96138" w14:paraId="0FDEEF3B" w14:textId="58B15C4D">
            <w:pPr>
              <w:pStyle w:val="Caption"/>
            </w:pPr>
            <w:bookmarkStart w:name="_Ref215516314" w:id="113"/>
            <w:bookmarkStart w:name="_Toc223413818" w:id="114"/>
            <w:r>
              <w:rPr>
                <w:noProof/>
              </w:rPr>
              <w:drawing>
                <wp:anchor distT="0" distB="0" distL="114300" distR="114300" simplePos="0" relativeHeight="251658304" behindDoc="1" locked="0" layoutInCell="1" allowOverlap="1" wp14:anchorId="67485D56" wp14:editId="5E319F8E">
                  <wp:simplePos x="0" y="0"/>
                  <wp:positionH relativeFrom="column">
                    <wp:posOffset>4664124</wp:posOffset>
                  </wp:positionH>
                  <wp:positionV relativeFrom="paragraph">
                    <wp:posOffset>102479</wp:posOffset>
                  </wp:positionV>
                  <wp:extent cx="974725" cy="488315"/>
                  <wp:effectExtent l="0" t="0" r="0" b="6985"/>
                  <wp:wrapTight wrapText="bothSides">
                    <wp:wrapPolygon edited="0">
                      <wp:start x="0" y="0"/>
                      <wp:lineTo x="0" y="21066"/>
                      <wp:lineTo x="21107" y="21066"/>
                      <wp:lineTo x="21107" y="0"/>
                      <wp:lineTo x="0" y="0"/>
                    </wp:wrapPolygon>
                  </wp:wrapTight>
                  <wp:docPr id="1698646996" name="Picture 2" descr="A red and white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646996" name="Picture 2" descr="A red and white flag&#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74725" cy="488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14</w:t>
            </w:r>
            <w:r>
              <w:rPr>
                <w:noProof/>
              </w:rPr>
              <w:fldChar w:fldCharType="end"/>
            </w:r>
            <w:bookmarkEnd w:id="113"/>
            <w:r>
              <w:t>. Latvia</w:t>
            </w:r>
            <w:r w:rsidR="00A40062">
              <w:t xml:space="preserve"> -</w:t>
            </w:r>
            <w:r>
              <w:t xml:space="preserve"> Register of Enterprises</w:t>
            </w:r>
            <w:bookmarkEnd w:id="114"/>
            <w:r>
              <w:t xml:space="preserve"> </w:t>
            </w:r>
          </w:p>
          <w:p w:rsidRPr="00C40E99" w:rsidR="00B96138" w:rsidRDefault="00B96138" w14:paraId="768C68FF" w14:textId="77777777">
            <w:pPr>
              <w:pStyle w:val="Para0"/>
              <w:rPr>
                <w:i/>
                <w:iCs/>
                <w:lang w:val="en-US"/>
              </w:rPr>
            </w:pPr>
            <w:r w:rsidRPr="00832509">
              <w:rPr>
                <w:b/>
                <w:bCs/>
                <w:lang w:val="en-US"/>
              </w:rPr>
              <w:t>Latvia</w:t>
            </w:r>
            <w:r w:rsidRPr="00C40E99">
              <w:rPr>
                <w:lang w:val="en-US"/>
              </w:rPr>
              <w:t xml:space="preserve">’s digital </w:t>
            </w:r>
            <w:r w:rsidRPr="00836B93">
              <w:rPr>
                <w:i/>
                <w:iCs/>
                <w:lang w:val="en-US"/>
              </w:rPr>
              <w:t>Register of Enterprises</w:t>
            </w:r>
            <w:r>
              <w:rPr>
                <w:lang w:val="en-US"/>
              </w:rPr>
              <w:t xml:space="preserve"> platform is a central, authoritative registry containing verified information about all legal entities operating in the country. It provides fast, reliable, and transparent access to company data, supports fully digital registration and filing processes, and enables seamless data reuse across public services. By acting as a trusted, interoperable source of business information, the registry strengthens legal certainty, reduces administrative burdens, and improve the overall ease of doing business. </w:t>
            </w:r>
          </w:p>
          <w:p w:rsidRPr="00864412" w:rsidR="00B96138" w:rsidRDefault="00B96138" w14:paraId="03A4F22E" w14:textId="77777777">
            <w:pPr>
              <w:pStyle w:val="Para0"/>
              <w:rPr>
                <w:b/>
                <w:bCs/>
                <w:lang w:val="en-US"/>
              </w:rPr>
            </w:pPr>
            <w:r>
              <w:rPr>
                <w:b/>
                <w:bCs/>
                <w:lang w:val="en-US"/>
              </w:rPr>
              <w:t>Good practices summary:</w:t>
            </w:r>
          </w:p>
          <w:p w:rsidR="00B96138" w:rsidRDefault="00B96138" w14:paraId="69EB85C8" w14:textId="2F9EEB32">
            <w:pPr>
              <w:pStyle w:val="BulletedList"/>
              <w:rPr>
                <w:lang w:val="en-US"/>
              </w:rPr>
            </w:pPr>
            <w:r w:rsidRPr="00832509">
              <w:rPr>
                <w:b/>
                <w:bCs/>
                <w:lang w:val="en-US"/>
              </w:rPr>
              <w:t>Store authoritative, up-to-date data</w:t>
            </w:r>
            <w:r>
              <w:rPr>
                <w:lang w:val="en-US"/>
              </w:rPr>
              <w:t xml:space="preserve"> on all registered legal entities. </w:t>
            </w:r>
          </w:p>
          <w:p w:rsidR="00B96138" w:rsidRDefault="00B96138" w14:paraId="0B7836E8" w14:textId="7EB1B966">
            <w:pPr>
              <w:pStyle w:val="BulletedList"/>
              <w:rPr>
                <w:lang w:val="en-US"/>
              </w:rPr>
            </w:pPr>
            <w:r w:rsidRPr="00832509">
              <w:rPr>
                <w:b/>
                <w:bCs/>
                <w:lang w:val="en-US"/>
              </w:rPr>
              <w:t>Provide a searchable database</w:t>
            </w:r>
            <w:r>
              <w:rPr>
                <w:lang w:val="en-US"/>
              </w:rPr>
              <w:t xml:space="preserve"> for verifying a company’s status and details. </w:t>
            </w:r>
          </w:p>
          <w:p w:rsidRPr="00864412" w:rsidR="00B96138" w:rsidRDefault="00B96138" w14:paraId="1DDF0F51" w14:textId="03226EE7">
            <w:pPr>
              <w:pStyle w:val="BulletedList"/>
              <w:rPr>
                <w:lang w:val="en-US"/>
              </w:rPr>
            </w:pPr>
            <w:r w:rsidRPr="00832509">
              <w:rPr>
                <w:b/>
                <w:bCs/>
                <w:lang w:val="en-US"/>
              </w:rPr>
              <w:t>Enable digital submission</w:t>
            </w:r>
            <w:r>
              <w:rPr>
                <w:lang w:val="en-US"/>
              </w:rPr>
              <w:t xml:space="preserve"> of incorporation documents and changes. </w:t>
            </w:r>
          </w:p>
          <w:p w:rsidR="00B96138" w:rsidRDefault="00B96138" w14:paraId="115B5046" w14:textId="5B05364F">
            <w:pPr>
              <w:pStyle w:val="BulletedList"/>
              <w:rPr>
                <w:lang w:val="en-US"/>
              </w:rPr>
            </w:pPr>
            <w:r w:rsidRPr="00832509">
              <w:rPr>
                <w:b/>
                <w:bCs/>
                <w:lang w:val="en-US"/>
              </w:rPr>
              <w:t>Offer electronic access</w:t>
            </w:r>
            <w:r>
              <w:rPr>
                <w:lang w:val="en-US"/>
              </w:rPr>
              <w:t xml:space="preserve"> to historical records, filing and official extracts</w:t>
            </w:r>
            <w:r w:rsidRPr="00864412">
              <w:rPr>
                <w:lang w:val="en-US"/>
              </w:rPr>
              <w:t>.</w:t>
            </w:r>
          </w:p>
          <w:p w:rsidRPr="00864412" w:rsidR="00B96138" w:rsidRDefault="00B96138" w14:paraId="77234998" w14:textId="72015CD9">
            <w:pPr>
              <w:pStyle w:val="BulletedList"/>
              <w:rPr>
                <w:lang w:val="en-US"/>
              </w:rPr>
            </w:pPr>
            <w:r w:rsidRPr="00832509">
              <w:rPr>
                <w:b/>
                <w:bCs/>
                <w:lang w:val="en-US"/>
              </w:rPr>
              <w:t>Integrate</w:t>
            </w:r>
            <w:r>
              <w:rPr>
                <w:lang w:val="en-US"/>
              </w:rPr>
              <w:t xml:space="preserve"> with tax, licensing, and procurement systems for automatic data exchange.</w:t>
            </w:r>
          </w:p>
          <w:p w:rsidRPr="00346AF5" w:rsidR="00B96138" w:rsidRDefault="00B96138" w14:paraId="1FCB46F4" w14:textId="3953F41B">
            <w:pPr>
              <w:pStyle w:val="BulletedList"/>
            </w:pPr>
            <w:r w:rsidRPr="00832509">
              <w:rPr>
                <w:b/>
                <w:bCs/>
                <w:lang w:val="en-US"/>
              </w:rPr>
              <w:t>Ensure data accuracy</w:t>
            </w:r>
            <w:r w:rsidRPr="00346AF5">
              <w:rPr>
                <w:lang w:val="en-US"/>
              </w:rPr>
              <w:t xml:space="preserve"> through validation and structured digital formats. </w:t>
            </w:r>
          </w:p>
          <w:p w:rsidRPr="006B0417" w:rsidR="00B96138" w:rsidRDefault="00B96138" w14:paraId="546DC67F" w14:textId="64C892A3">
            <w:pPr>
              <w:pStyle w:val="BulletedList"/>
            </w:pPr>
            <w:r w:rsidRPr="00346AF5">
              <w:rPr>
                <w:lang w:val="en-US"/>
              </w:rPr>
              <w:t xml:space="preserve">Support transparency and trust by </w:t>
            </w:r>
            <w:r w:rsidRPr="00832509">
              <w:rPr>
                <w:b/>
                <w:bCs/>
                <w:lang w:val="en-US"/>
              </w:rPr>
              <w:t>providing reliable, legally recognized information</w:t>
            </w:r>
            <w:r w:rsidRPr="00346AF5">
              <w:rPr>
                <w:lang w:val="en-US"/>
              </w:rPr>
              <w:t>.</w:t>
            </w:r>
          </w:p>
          <w:p w:rsidRPr="00775FF9" w:rsidR="00B96138" w:rsidRDefault="00B96138" w14:paraId="1264D766" w14:textId="77777777">
            <w:pPr>
              <w:pStyle w:val="Sourcenotes"/>
            </w:pPr>
            <w:r>
              <w:t xml:space="preserve">Source: </w:t>
            </w:r>
            <w:r w:rsidRPr="007D1EFC">
              <w:t xml:space="preserve">Information obtained in country mission in </w:t>
            </w:r>
            <w:r>
              <w:t>June</w:t>
            </w:r>
            <w:r w:rsidRPr="007D1EFC">
              <w:t xml:space="preserve"> 2025 as part of this TSI</w:t>
            </w:r>
            <w:r>
              <w:t>.</w:t>
            </w:r>
          </w:p>
        </w:tc>
      </w:tr>
    </w:tbl>
    <w:p w:rsidRPr="00B96138" w:rsidR="00B96138" w:rsidP="00126E36" w:rsidRDefault="00B96138" w14:paraId="30760B6F" w14:textId="77777777">
      <w:pPr>
        <w:pStyle w:val="Para"/>
        <w:numPr>
          <w:ilvl w:val="0"/>
          <w:numId w:val="0"/>
        </w:numPr>
      </w:pPr>
    </w:p>
    <w:p w:rsidR="00024AEF" w:rsidP="00126E36" w:rsidRDefault="00024AEF" w14:paraId="6EB06700" w14:textId="77777777">
      <w:pPr>
        <w:pStyle w:val="Para"/>
        <w:numPr>
          <w:ilvl w:val="0"/>
          <w:numId w:val="0"/>
        </w:numPr>
      </w:pPr>
    </w:p>
    <w:p w:rsidR="00110DD9" w:rsidP="00126E36" w:rsidRDefault="00110DD9" w14:paraId="5A0FE928" w14:textId="7D3C97C4">
      <w:pPr>
        <w:pStyle w:val="Para"/>
        <w:numPr>
          <w:ilvl w:val="0"/>
          <w:numId w:val="0"/>
        </w:numPr>
      </w:pPr>
      <w:r w:rsidRPr="00832509">
        <w:rPr>
          <w:b/>
          <w:bCs/>
        </w:rPr>
        <w:t>The development of seamless services has been identified as a challenge in many countries, particularly in relation to more ‘complex’ Life Events such as ‘losing a loved one’.</w:t>
      </w:r>
      <w:r>
        <w:t xml:space="preserve"> In-depth analysis of countries’ implementation of this Life Event was undertaken through the TSI Country Missions in Estonia</w:t>
      </w:r>
      <w:r w:rsidR="006B4089">
        <w:t xml:space="preserve"> (</w:t>
      </w:r>
      <w:r w:rsidR="006B4089">
        <w:fldChar w:fldCharType="begin"/>
      </w:r>
      <w:r w:rsidR="006B4089">
        <w:instrText xml:space="preserve"> REF _Ref215524653 \h </w:instrText>
      </w:r>
      <w:r w:rsidR="006B4089">
        <w:fldChar w:fldCharType="separate"/>
      </w:r>
      <w:r w:rsidRPr="00B44A50" w:rsidR="00543B3D">
        <w:t>Box</w:t>
      </w:r>
      <w:r w:rsidR="00543B3D">
        <w:t> </w:t>
      </w:r>
      <w:r w:rsidR="00543B3D">
        <w:rPr>
          <w:noProof/>
        </w:rPr>
        <w:t>3</w:t>
      </w:r>
      <w:r w:rsidR="00543B3D">
        <w:t>.</w:t>
      </w:r>
      <w:r w:rsidR="00543B3D">
        <w:rPr>
          <w:noProof/>
        </w:rPr>
        <w:t>15</w:t>
      </w:r>
      <w:r w:rsidR="006B4089">
        <w:fldChar w:fldCharType="end"/>
      </w:r>
      <w:r w:rsidR="006B4089">
        <w:t>), Spain (</w:t>
      </w:r>
      <w:r w:rsidR="006B4089">
        <w:fldChar w:fldCharType="begin"/>
      </w:r>
      <w:r w:rsidR="006B4089">
        <w:instrText xml:space="preserve"> REF _Ref215524671 \h </w:instrText>
      </w:r>
      <w:r w:rsidR="006B4089">
        <w:fldChar w:fldCharType="separate"/>
      </w:r>
      <w:r w:rsidRPr="00B44A50" w:rsidR="00543B3D">
        <w:t>Box</w:t>
      </w:r>
      <w:r w:rsidR="00543B3D">
        <w:t> </w:t>
      </w:r>
      <w:r w:rsidR="00543B3D">
        <w:rPr>
          <w:noProof/>
        </w:rPr>
        <w:t>3</w:t>
      </w:r>
      <w:r w:rsidR="00543B3D">
        <w:t>.</w:t>
      </w:r>
      <w:r w:rsidR="00543B3D">
        <w:rPr>
          <w:noProof/>
        </w:rPr>
        <w:t>16</w:t>
      </w:r>
      <w:r w:rsidR="006B4089">
        <w:fldChar w:fldCharType="end"/>
      </w:r>
      <w:r w:rsidR="006B4089">
        <w:t>) and Finland (</w:t>
      </w:r>
      <w:r w:rsidR="006B4089">
        <w:fldChar w:fldCharType="begin"/>
      </w:r>
      <w:r w:rsidR="006B4089">
        <w:instrText xml:space="preserve"> REF _Ref215524684 \h </w:instrText>
      </w:r>
      <w:r w:rsidR="006B4089">
        <w:fldChar w:fldCharType="separate"/>
      </w:r>
      <w:r w:rsidRPr="00B44A50" w:rsidR="00543B3D">
        <w:t>Box</w:t>
      </w:r>
      <w:r w:rsidR="00543B3D">
        <w:t> </w:t>
      </w:r>
      <w:r w:rsidR="00543B3D">
        <w:rPr>
          <w:noProof/>
        </w:rPr>
        <w:t>3</w:t>
      </w:r>
      <w:r w:rsidR="00543B3D">
        <w:t>.</w:t>
      </w:r>
      <w:r w:rsidR="00543B3D">
        <w:rPr>
          <w:noProof/>
        </w:rPr>
        <w:t>17</w:t>
      </w:r>
      <w:r w:rsidR="006B4089">
        <w:fldChar w:fldCharType="end"/>
      </w:r>
      <w:r w:rsidR="006B4089">
        <w:t>)</w:t>
      </w:r>
      <w:r>
        <w:t xml:space="preserve">. Challenges particularly arise due to the multiplicity of actors involved in providing services associated with the loss of a loved one, with these actors in some instances being both public and private in nature. Moreover, the </w:t>
      </w:r>
      <w:r w:rsidR="006A7A82">
        <w:t>existence of actors at central and local level</w:t>
      </w:r>
      <w:r w:rsidR="00302B2F">
        <w:t>s of government</w:t>
      </w:r>
      <w:r w:rsidR="006A7A82">
        <w:t xml:space="preserve"> creates complexities in relation to the interconnection of information. </w:t>
      </w:r>
      <w:r w:rsidR="006B4089">
        <w:t xml:space="preserve">Each country has undertaken different actions to address some of these challenges.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6A7A82" w14:paraId="21350573"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6A7A82" w:rsidP="00E801BF" w:rsidRDefault="00E801BF" w14:paraId="5B2502F6" w14:textId="387C3905">
            <w:pPr>
              <w:pStyle w:val="Caption"/>
              <w:spacing w:line="240" w:lineRule="auto"/>
            </w:pPr>
            <w:bookmarkStart w:name="_Ref215524653" w:id="115"/>
            <w:bookmarkStart w:name="_Toc223413819" w:id="116"/>
            <w:bookmarkStart w:name="_Ref215433840" w:id="117"/>
            <w:r>
              <w:rPr>
                <w:noProof/>
              </w:rPr>
              <w:drawing>
                <wp:anchor distT="0" distB="0" distL="114300" distR="114300" simplePos="0" relativeHeight="251658301" behindDoc="1" locked="0" layoutInCell="1" allowOverlap="1" wp14:anchorId="7058506D" wp14:editId="780C0E22">
                  <wp:simplePos x="0" y="0"/>
                  <wp:positionH relativeFrom="column">
                    <wp:posOffset>-635</wp:posOffset>
                  </wp:positionH>
                  <wp:positionV relativeFrom="paragraph">
                    <wp:posOffset>10160</wp:posOffset>
                  </wp:positionV>
                  <wp:extent cx="914400" cy="914400"/>
                  <wp:effectExtent l="0" t="0" r="0" b="0"/>
                  <wp:wrapTight wrapText="bothSides">
                    <wp:wrapPolygon edited="0">
                      <wp:start x="7200" y="4050"/>
                      <wp:lineTo x="0" y="11250"/>
                      <wp:lineTo x="0" y="12600"/>
                      <wp:lineTo x="2700" y="17100"/>
                      <wp:lineTo x="19350" y="17100"/>
                      <wp:lineTo x="21150" y="13050"/>
                      <wp:lineTo x="21150" y="10800"/>
                      <wp:lineTo x="15300" y="6750"/>
                      <wp:lineTo x="10800" y="4050"/>
                      <wp:lineTo x="7200" y="4050"/>
                    </wp:wrapPolygon>
                  </wp:wrapTight>
                  <wp:docPr id="1094951616" name="Graphic 5" descr="Clou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951616" name="Graphic 1094951616" descr="Cloud with solid fill"/>
                          <pic:cNvPicPr/>
                        </pic:nvPicPr>
                        <pic:blipFill>
                          <a:blip r:embed="rId74">
                            <a:extLst>
                              <a:ext uri="{96DAC541-7B7A-43D3-8B79-37D633B846F1}">
                                <asvg:svgBlip xmlns:asvg="http://schemas.microsoft.com/office/drawing/2016/SVG/main" r:embed="rId75"/>
                              </a:ext>
                            </a:extLst>
                          </a:blip>
                          <a:stretch>
                            <a:fillRect/>
                          </a:stretch>
                        </pic:blipFill>
                        <pic:spPr>
                          <a:xfrm>
                            <a:off x="0" y="0"/>
                            <a:ext cx="914400" cy="914400"/>
                          </a:xfrm>
                          <a:prstGeom prst="rect">
                            <a:avLst/>
                          </a:prstGeom>
                        </pic:spPr>
                      </pic:pic>
                    </a:graphicData>
                  </a:graphic>
                </wp:anchor>
              </w:drawing>
            </w:r>
            <w:r w:rsidR="006A7A82">
              <w:rPr>
                <w:noProof/>
              </w:rPr>
              <w:drawing>
                <wp:anchor distT="0" distB="0" distL="114300" distR="114300" simplePos="0" relativeHeight="251658288" behindDoc="1" locked="0" layoutInCell="1" allowOverlap="1" wp14:anchorId="46C69656" wp14:editId="413F3723">
                  <wp:simplePos x="0" y="0"/>
                  <wp:positionH relativeFrom="column">
                    <wp:posOffset>4664710</wp:posOffset>
                  </wp:positionH>
                  <wp:positionV relativeFrom="paragraph">
                    <wp:posOffset>64770</wp:posOffset>
                  </wp:positionV>
                  <wp:extent cx="1009015" cy="641350"/>
                  <wp:effectExtent l="0" t="0" r="635" b="6350"/>
                  <wp:wrapTight wrapText="bothSides">
                    <wp:wrapPolygon edited="0">
                      <wp:start x="0" y="0"/>
                      <wp:lineTo x="0" y="21172"/>
                      <wp:lineTo x="21206" y="21172"/>
                      <wp:lineTo x="21206" y="0"/>
                      <wp:lineTo x="0" y="0"/>
                    </wp:wrapPolygon>
                  </wp:wrapTight>
                  <wp:docPr id="213525309" name="Picture 1" descr="A blue and black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12193" name="Picture 1" descr="A blue and black flag&#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09015" cy="641350"/>
                          </a:xfrm>
                          <a:prstGeom prst="rect">
                            <a:avLst/>
                          </a:prstGeom>
                        </pic:spPr>
                      </pic:pic>
                    </a:graphicData>
                  </a:graphic>
                  <wp14:sizeRelH relativeFrom="margin">
                    <wp14:pctWidth>0</wp14:pctWidth>
                  </wp14:sizeRelH>
                  <wp14:sizeRelV relativeFrom="margin">
                    <wp14:pctHeight>0</wp14:pctHeight>
                  </wp14:sizeRelV>
                </wp:anchor>
              </w:drawing>
            </w:r>
            <w:r w:rsidRPr="00B44A50" w:rsidR="006A7A82">
              <w:t>Box</w:t>
            </w:r>
            <w:r w:rsidR="006A7A82">
              <w:t> </w:t>
            </w:r>
            <w:r w:rsidR="006A7A82">
              <w:rPr>
                <w:noProof/>
              </w:rPr>
              <w:fldChar w:fldCharType="begin"/>
            </w:r>
            <w:r w:rsidR="006A7A82">
              <w:rPr>
                <w:noProof/>
              </w:rPr>
              <w:instrText xml:space="preserve"> STYLEREF 1 \s </w:instrText>
            </w:r>
            <w:r w:rsidR="006A7A82">
              <w:rPr>
                <w:noProof/>
              </w:rPr>
              <w:fldChar w:fldCharType="separate"/>
            </w:r>
            <w:r w:rsidR="00543B3D">
              <w:rPr>
                <w:noProof/>
              </w:rPr>
              <w:t>3</w:t>
            </w:r>
            <w:r w:rsidR="006A7A82">
              <w:rPr>
                <w:noProof/>
              </w:rPr>
              <w:fldChar w:fldCharType="end"/>
            </w:r>
            <w:r w:rsidR="006A7A82">
              <w:t>.</w:t>
            </w:r>
            <w:r w:rsidR="006A7A82">
              <w:rPr>
                <w:noProof/>
              </w:rPr>
              <w:fldChar w:fldCharType="begin"/>
            </w:r>
            <w:r w:rsidR="006A7A82">
              <w:rPr>
                <w:noProof/>
              </w:rPr>
              <w:instrText xml:space="preserve"> SEQ Box \* ARABIC \s 1 </w:instrText>
            </w:r>
            <w:r w:rsidR="006A7A82">
              <w:rPr>
                <w:noProof/>
              </w:rPr>
              <w:fldChar w:fldCharType="separate"/>
            </w:r>
            <w:r w:rsidR="00543B3D">
              <w:rPr>
                <w:noProof/>
              </w:rPr>
              <w:t>15</w:t>
            </w:r>
            <w:r w:rsidR="006A7A82">
              <w:rPr>
                <w:noProof/>
              </w:rPr>
              <w:fldChar w:fldCharType="end"/>
            </w:r>
            <w:bookmarkEnd w:id="115"/>
            <w:r w:rsidR="006A7A82">
              <w:t xml:space="preserve">. </w:t>
            </w:r>
            <w:r w:rsidR="00A40062">
              <w:t xml:space="preserve">Estonia - </w:t>
            </w:r>
            <w:r w:rsidR="00DE0E6E">
              <w:t>Losing a Loved One</w:t>
            </w:r>
            <w:bookmarkEnd w:id="116"/>
            <w:r w:rsidR="00DE0E6E">
              <w:t xml:space="preserve"> </w:t>
            </w:r>
          </w:p>
          <w:p w:rsidR="00E226D4" w:rsidP="00832509" w:rsidRDefault="00E226D4" w14:paraId="7AAB40DB" w14:textId="7DAE6774">
            <w:pPr>
              <w:pStyle w:val="Para0"/>
            </w:pPr>
            <w:r>
              <w:t xml:space="preserve">When losing a loved one in </w:t>
            </w:r>
            <w:r w:rsidRPr="00832509">
              <w:rPr>
                <w:b/>
                <w:bCs/>
              </w:rPr>
              <w:t>Estonia</w:t>
            </w:r>
            <w:r>
              <w:t xml:space="preserve">, </w:t>
            </w:r>
            <w:r w:rsidR="00DA2C7B">
              <w:t>no unified overview of all activities that needed to be completed by the deceased’s next of kin was available</w:t>
            </w:r>
            <w:r w:rsidR="00995D26">
              <w:t xml:space="preserve">. Since Service Providers did not have a uniform process for providing the user with the information necessary for the Life Event and for directing them from one service to another, the </w:t>
            </w:r>
            <w:r w:rsidR="00302B2F">
              <w:t>u</w:t>
            </w:r>
            <w:r w:rsidR="00995D26">
              <w:t xml:space="preserve">ser did not have clear information about </w:t>
            </w:r>
            <w:r w:rsidR="00E74AF2">
              <w:t xml:space="preserve">the process to be undertaken. </w:t>
            </w:r>
          </w:p>
          <w:p w:rsidR="00F46121" w:rsidP="00E74AF2" w:rsidRDefault="00E74AF2" w14:paraId="72DFAFB2" w14:textId="73F2F5AD">
            <w:pPr>
              <w:pStyle w:val="Para0"/>
            </w:pPr>
            <w:r>
              <w:t xml:space="preserve">Public Services that need to be accessed in Estonia when losing a loved one </w:t>
            </w:r>
            <w:r w:rsidR="00711FAF">
              <w:t>include the organisation of burials and the application to receive a funeral allowance, inheritance processes such as the transfer of real estate</w:t>
            </w:r>
            <w:r w:rsidR="00F46121">
              <w:t xml:space="preserve">. </w:t>
            </w:r>
            <w:r w:rsidR="00CC3AB9">
              <w:t xml:space="preserve">The public services are distributed between central and local government, with variations in services and benefits (e.g. funeral allowance) depending on the residence of the deceased. </w:t>
            </w:r>
          </w:p>
          <w:p w:rsidRPr="00E74AF2" w:rsidR="00E74AF2" w:rsidP="00E74AF2" w:rsidRDefault="00F46121" w14:paraId="0CB1E0C6" w14:textId="26C3D117">
            <w:pPr>
              <w:pStyle w:val="Para0"/>
            </w:pPr>
            <w:r>
              <w:t xml:space="preserve">To </w:t>
            </w:r>
            <w:r w:rsidR="005B3265">
              <w:t xml:space="preserve">address the challenges faced by </w:t>
            </w:r>
            <w:r w:rsidR="00302B2F">
              <w:t>u</w:t>
            </w:r>
            <w:r w:rsidR="005B3265">
              <w:t xml:space="preserve">sers who lost a loved one, a Life Event approach was developed in Estonia which focussed on the grouping of all necessary information for the user on eesti.ee. </w:t>
            </w:r>
            <w:r w:rsidR="00991274">
              <w:t xml:space="preserve">A ‘to-be’ vision was defined in 2022 </w:t>
            </w:r>
            <w:r w:rsidR="002D1814">
              <w:t xml:space="preserve">which aims to develop a future state to simplify the process and reduce the workload for all service providers and users. This includes the preparation of an information service to organise the wishes and encourage discussion between the deceased and relatives, the centralisation and personalisation of all relevant service information </w:t>
            </w:r>
            <w:r w:rsidR="00CC3AB9">
              <w:t xml:space="preserve">and the digitalisation of the death certificate. The current state of play includes the grouping of information on eesti.ee to outline to the user </w:t>
            </w:r>
            <w:r w:rsidR="002802AD">
              <w:t xml:space="preserve">all steps associated with the death of a loved one including </w:t>
            </w:r>
            <w:r w:rsidR="00991274">
              <w:t xml:space="preserve">learning about death and a burial and succession and contracts. </w:t>
            </w:r>
            <w:r w:rsidR="00711FAF">
              <w:t xml:space="preserve"> </w:t>
            </w:r>
          </w:p>
          <w:p w:rsidRPr="00775FF9" w:rsidR="006A7A82" w:rsidRDefault="006A7A82" w14:paraId="78D868AF" w14:textId="49A7A822">
            <w:pPr>
              <w:pStyle w:val="Sourcenotes"/>
            </w:pPr>
            <w:r>
              <w:t>Source</w:t>
            </w:r>
            <w:r w:rsidR="00CC3AB9">
              <w:t>: Information gathered through TSI Mission to Estonia, October 2025</w:t>
            </w:r>
            <w:r w:rsidR="004A262D">
              <w:t>.</w:t>
            </w:r>
          </w:p>
        </w:tc>
      </w:tr>
    </w:tbl>
    <w:p w:rsidR="006A7A82" w:rsidP="006A7A82" w:rsidRDefault="006A7A82" w14:paraId="02BD26A2" w14:textId="77777777">
      <w:pPr>
        <w:pStyle w:val="Para0"/>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6A7A82" w14:paraId="3AE41561"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6A7A82" w:rsidRDefault="00E801BF" w14:paraId="3B0F6249" w14:textId="65D30B7A">
            <w:pPr>
              <w:pStyle w:val="Caption"/>
            </w:pPr>
            <w:bookmarkStart w:name="_Ref215524671" w:id="118"/>
            <w:bookmarkStart w:name="_Toc223413820" w:id="119"/>
            <w:r>
              <w:rPr>
                <w:noProof/>
              </w:rPr>
              <w:drawing>
                <wp:anchor distT="0" distB="0" distL="114300" distR="114300" simplePos="0" relativeHeight="251658302" behindDoc="1" locked="0" layoutInCell="1" allowOverlap="1" wp14:anchorId="79D17355" wp14:editId="5F254082">
                  <wp:simplePos x="0" y="0"/>
                  <wp:positionH relativeFrom="column">
                    <wp:posOffset>-31750</wp:posOffset>
                  </wp:positionH>
                  <wp:positionV relativeFrom="paragraph">
                    <wp:posOffset>0</wp:posOffset>
                  </wp:positionV>
                  <wp:extent cx="914400" cy="914400"/>
                  <wp:effectExtent l="0" t="0" r="0" b="0"/>
                  <wp:wrapTight wrapText="bothSides">
                    <wp:wrapPolygon edited="0">
                      <wp:start x="7200" y="4050"/>
                      <wp:lineTo x="0" y="11250"/>
                      <wp:lineTo x="0" y="12600"/>
                      <wp:lineTo x="2700" y="17100"/>
                      <wp:lineTo x="19350" y="17100"/>
                      <wp:lineTo x="21150" y="13050"/>
                      <wp:lineTo x="21150" y="10800"/>
                      <wp:lineTo x="15300" y="6750"/>
                      <wp:lineTo x="10800" y="4050"/>
                      <wp:lineTo x="7200" y="4050"/>
                    </wp:wrapPolygon>
                  </wp:wrapTight>
                  <wp:docPr id="273107662" name="Graphic 5" descr="Clou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951616" name="Graphic 1094951616" descr="Cloud with solid fill"/>
                          <pic:cNvPicPr/>
                        </pic:nvPicPr>
                        <pic:blipFill>
                          <a:blip r:embed="rId74">
                            <a:extLst>
                              <a:ext uri="{96DAC541-7B7A-43D3-8B79-37D633B846F1}">
                                <asvg:svgBlip xmlns:asvg="http://schemas.microsoft.com/office/drawing/2016/SVG/main" r:embed="rId75"/>
                              </a:ext>
                            </a:extLst>
                          </a:blip>
                          <a:stretch>
                            <a:fillRect/>
                          </a:stretch>
                        </pic:blipFill>
                        <pic:spPr>
                          <a:xfrm>
                            <a:off x="0" y="0"/>
                            <a:ext cx="914400" cy="914400"/>
                          </a:xfrm>
                          <a:prstGeom prst="rect">
                            <a:avLst/>
                          </a:prstGeom>
                        </pic:spPr>
                      </pic:pic>
                    </a:graphicData>
                  </a:graphic>
                </wp:anchor>
              </w:drawing>
            </w:r>
            <w:r w:rsidR="006A7A82">
              <w:rPr>
                <w:noProof/>
              </w:rPr>
              <w:drawing>
                <wp:anchor distT="0" distB="0" distL="114300" distR="114300" simplePos="0" relativeHeight="251658289" behindDoc="1" locked="0" layoutInCell="1" allowOverlap="1" wp14:anchorId="211FF00A" wp14:editId="0101066C">
                  <wp:simplePos x="0" y="0"/>
                  <wp:positionH relativeFrom="column">
                    <wp:posOffset>4704715</wp:posOffset>
                  </wp:positionH>
                  <wp:positionV relativeFrom="paragraph">
                    <wp:posOffset>93345</wp:posOffset>
                  </wp:positionV>
                  <wp:extent cx="974725" cy="648335"/>
                  <wp:effectExtent l="0" t="0" r="0" b="0"/>
                  <wp:wrapTight wrapText="bothSides">
                    <wp:wrapPolygon edited="0">
                      <wp:start x="0" y="0"/>
                      <wp:lineTo x="0" y="20944"/>
                      <wp:lineTo x="21107" y="20944"/>
                      <wp:lineTo x="21107" y="0"/>
                      <wp:lineTo x="0" y="0"/>
                    </wp:wrapPolygon>
                  </wp:wrapTight>
                  <wp:docPr id="261427249" name="Picture 1" descr="A flag with a red and yellow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111147" name="Picture 1" descr="A flag with a red and yellow stripe&#10;&#10;AI-generated content may be incorrec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974725" cy="648335"/>
                          </a:xfrm>
                          <a:prstGeom prst="rect">
                            <a:avLst/>
                          </a:prstGeom>
                        </pic:spPr>
                      </pic:pic>
                    </a:graphicData>
                  </a:graphic>
                  <wp14:sizeRelH relativeFrom="margin">
                    <wp14:pctWidth>0</wp14:pctWidth>
                  </wp14:sizeRelH>
                  <wp14:sizeRelV relativeFrom="margin">
                    <wp14:pctHeight>0</wp14:pctHeight>
                  </wp14:sizeRelV>
                </wp:anchor>
              </w:drawing>
            </w:r>
            <w:r w:rsidRPr="00B44A50" w:rsidR="006A7A82">
              <w:t>Box</w:t>
            </w:r>
            <w:r w:rsidR="006A7A82">
              <w:t> </w:t>
            </w:r>
            <w:r w:rsidR="006A7A82">
              <w:rPr>
                <w:noProof/>
              </w:rPr>
              <w:fldChar w:fldCharType="begin"/>
            </w:r>
            <w:r w:rsidR="006A7A82">
              <w:rPr>
                <w:noProof/>
              </w:rPr>
              <w:instrText xml:space="preserve"> STYLEREF 1 \s </w:instrText>
            </w:r>
            <w:r w:rsidR="006A7A82">
              <w:rPr>
                <w:noProof/>
              </w:rPr>
              <w:fldChar w:fldCharType="separate"/>
            </w:r>
            <w:r w:rsidR="00543B3D">
              <w:rPr>
                <w:noProof/>
              </w:rPr>
              <w:t>3</w:t>
            </w:r>
            <w:r w:rsidR="006A7A82">
              <w:rPr>
                <w:noProof/>
              </w:rPr>
              <w:fldChar w:fldCharType="end"/>
            </w:r>
            <w:r w:rsidR="006A7A82">
              <w:t>.</w:t>
            </w:r>
            <w:r w:rsidR="006A7A82">
              <w:rPr>
                <w:noProof/>
              </w:rPr>
              <w:fldChar w:fldCharType="begin"/>
            </w:r>
            <w:r w:rsidR="006A7A82">
              <w:rPr>
                <w:noProof/>
              </w:rPr>
              <w:instrText xml:space="preserve"> SEQ Box \* ARABIC \s 1 </w:instrText>
            </w:r>
            <w:r w:rsidR="006A7A82">
              <w:rPr>
                <w:noProof/>
              </w:rPr>
              <w:fldChar w:fldCharType="separate"/>
            </w:r>
            <w:r w:rsidR="00543B3D">
              <w:rPr>
                <w:noProof/>
              </w:rPr>
              <w:t>16</w:t>
            </w:r>
            <w:r w:rsidR="006A7A82">
              <w:rPr>
                <w:noProof/>
              </w:rPr>
              <w:fldChar w:fldCharType="end"/>
            </w:r>
            <w:bookmarkEnd w:id="118"/>
            <w:r w:rsidR="006A7A82">
              <w:t xml:space="preserve">. </w:t>
            </w:r>
            <w:r w:rsidR="00A40062">
              <w:t xml:space="preserve">Spain - </w:t>
            </w:r>
            <w:r w:rsidR="004854E3">
              <w:t>Losing a Loved One</w:t>
            </w:r>
            <w:bookmarkEnd w:id="119"/>
            <w:r w:rsidR="004854E3">
              <w:t xml:space="preserve"> </w:t>
            </w:r>
          </w:p>
          <w:p w:rsidR="004854E3" w:rsidP="004854E3" w:rsidRDefault="004854E3" w14:paraId="4BCB3B04" w14:textId="26507CAB">
            <w:pPr>
              <w:pStyle w:val="Para0"/>
              <w:rPr>
                <w:lang w:val="en-US"/>
              </w:rPr>
            </w:pPr>
            <w:r w:rsidRPr="004854E3">
              <w:rPr>
                <w:lang w:val="en-US"/>
              </w:rPr>
              <w:t xml:space="preserve">The </w:t>
            </w:r>
            <w:r>
              <w:rPr>
                <w:lang w:val="en-US"/>
              </w:rPr>
              <w:t xml:space="preserve">loss of a loved one in </w:t>
            </w:r>
            <w:r w:rsidRPr="00832509">
              <w:rPr>
                <w:b/>
                <w:bCs/>
                <w:lang w:val="en-US"/>
              </w:rPr>
              <w:t>Spain</w:t>
            </w:r>
            <w:r>
              <w:rPr>
                <w:lang w:val="en-US"/>
              </w:rPr>
              <w:t xml:space="preserve"> involves many different public services. </w:t>
            </w:r>
            <w:r w:rsidR="00BD0F68">
              <w:rPr>
                <w:lang w:val="en-US"/>
              </w:rPr>
              <w:t xml:space="preserve">Following the issuance of a medical certificate following the death of </w:t>
            </w:r>
            <w:r w:rsidR="001E4503">
              <w:rPr>
                <w:lang w:val="en-US"/>
              </w:rPr>
              <w:t>an individual, numerous actions need to be taken by the deceased’s next of kin including organizing the administration of the funeral arrangements</w:t>
            </w:r>
            <w:r w:rsidR="008A1CB0">
              <w:rPr>
                <w:lang w:val="en-US"/>
              </w:rPr>
              <w:t xml:space="preserve"> including burial and the </w:t>
            </w:r>
            <w:r w:rsidR="003373C1">
              <w:rPr>
                <w:lang w:val="en-US"/>
              </w:rPr>
              <w:t>access to legal and inheritance services including the Last Will of the deceased</w:t>
            </w:r>
            <w:r w:rsidR="00DD7530">
              <w:rPr>
                <w:lang w:val="en-US"/>
              </w:rPr>
              <w:t xml:space="preserve">. In addition, several administrative procedures may need to be taken in relation to inheritance tax and property transfer. </w:t>
            </w:r>
          </w:p>
          <w:p w:rsidR="00DD7530" w:rsidP="004854E3" w:rsidRDefault="00DD7530" w14:paraId="2F44498E" w14:textId="500B168A">
            <w:pPr>
              <w:pStyle w:val="Para0"/>
            </w:pPr>
            <w:r>
              <w:t xml:space="preserve">The public administrative services that need to be accessed by the deceased’s next of kin in Spain include </w:t>
            </w:r>
            <w:r w:rsidR="00C70687">
              <w:t xml:space="preserve">services provided by the Ministry of Justice through the Civil Registry, </w:t>
            </w:r>
            <w:r w:rsidR="005E693F">
              <w:t xml:space="preserve">services at municipal level (such as the transfer of property, the payment of tax on property) as well as notarial services (through the application of the last Will and Testament). Currently, </w:t>
            </w:r>
            <w:r w:rsidR="007C30EA">
              <w:t xml:space="preserve">each of the public administrative services are not interconnected, with the deceased’s next of kin having to complete several different steps to finalise the deceased’s estate. </w:t>
            </w:r>
          </w:p>
          <w:p w:rsidRPr="00D978F3" w:rsidR="00806DCB" w:rsidP="00806DCB" w:rsidRDefault="007C30EA" w14:paraId="49401CDB" w14:textId="658C2A3B">
            <w:pPr>
              <w:pStyle w:val="Para0"/>
              <w:rPr>
                <w:lang w:val="en-US"/>
              </w:rPr>
            </w:pPr>
            <w:r>
              <w:t>While an interconnection has not occurred between all public services, efforts have been made, however</w:t>
            </w:r>
            <w:r w:rsidR="004A262D">
              <w:t>,</w:t>
            </w:r>
            <w:r>
              <w:t xml:space="preserve"> in Spain </w:t>
            </w:r>
            <w:r w:rsidR="00C70687">
              <w:t xml:space="preserve">to </w:t>
            </w:r>
            <w:r w:rsidR="00E238C3">
              <w:rPr>
                <w:b/>
                <w:bCs/>
              </w:rPr>
              <w:t xml:space="preserve">integrate a fully digitalised Civil Registry with Spain’s notarial system. </w:t>
            </w:r>
            <w:r w:rsidRPr="00D978F3" w:rsidR="00806DCB">
              <w:rPr>
                <w:lang w:val="en-US"/>
              </w:rPr>
              <w:t>Spain’s Ministry of the Presidency, Justice and Relations with Parliament has fully digitized the Central Civil Registry Office, which now operates with the new DICIREG electronic system. This modernization enables faster, paper-free processing through electronic files, digital signatures, and a unified database, improving both complex registrations—such as those involving foreign judicial or extrajudicial documents—and routine procedures like certifications or nationality applications. The system is interoperable with all Civil Registry Offices in Spain and abroad, and it is also being integrated with the notarial system, allowing notaries to directly submit and verify registry information through secure digital channels.</w:t>
            </w:r>
          </w:p>
          <w:p w:rsidR="007C30EA" w:rsidP="00806DCB" w:rsidRDefault="00806DCB" w14:paraId="09632798" w14:textId="3B9FD00E">
            <w:pPr>
              <w:pStyle w:val="Para0"/>
              <w:rPr>
                <w:lang w:val="en-US"/>
              </w:rPr>
            </w:pPr>
            <w:r w:rsidRPr="00D978F3">
              <w:rPr>
                <w:lang w:val="en-US"/>
              </w:rPr>
              <w:t>This digital transformation reduces delays, eliminates duplications, and enables automatic issuance of digitally sealed certificates, while providing the Ministry with real-time data to improve service management. Overall, it represents a structural shift toward a faster, more efficient, and fully coordinated civil registration service that benefits citizens, including those residing outside Spain.</w:t>
            </w:r>
          </w:p>
          <w:p w:rsidRPr="00DF19BD" w:rsidR="00C57143" w:rsidP="00806DCB" w:rsidRDefault="00C57143" w14:paraId="2F4EF432" w14:textId="22B5DB24">
            <w:pPr>
              <w:pStyle w:val="Para0"/>
            </w:pPr>
            <w:r>
              <w:rPr>
                <w:lang w:val="en-US"/>
              </w:rPr>
              <w:t xml:space="preserve">In relation to Wills, the </w:t>
            </w:r>
            <w:r>
              <w:rPr>
                <w:i/>
                <w:iCs/>
                <w:lang w:val="en-US"/>
              </w:rPr>
              <w:t xml:space="preserve">Registro General de Actos de </w:t>
            </w:r>
            <w:r w:rsidRPr="00DF19BD" w:rsidR="00DF19BD">
              <w:rPr>
                <w:i/>
                <w:iCs/>
              </w:rPr>
              <w:t>Última Voluntad</w:t>
            </w:r>
            <w:r w:rsidR="00DF19BD">
              <w:rPr>
                <w:i/>
                <w:iCs/>
              </w:rPr>
              <w:t xml:space="preserve"> (</w:t>
            </w:r>
            <w:r w:rsidR="00DF19BD">
              <w:t xml:space="preserve">Central Registry of Wills) </w:t>
            </w:r>
            <w:r w:rsidR="000E4C6D">
              <w:t xml:space="preserve">records all last Wills and Testaments certified by Notaries. This Registry enables all notaries to access the will of the deceased, ensuring an interconnection of information across Notaries. </w:t>
            </w:r>
          </w:p>
          <w:p w:rsidRPr="00775FF9" w:rsidR="006A7A82" w:rsidRDefault="006A7A82" w14:paraId="5428C395" w14:textId="068763DA">
            <w:pPr>
              <w:pStyle w:val="Sourcenotes"/>
            </w:pPr>
            <w:r>
              <w:t xml:space="preserve">Source: </w:t>
            </w:r>
            <w:r w:rsidR="00ED396E">
              <w:t>Information collected through TSI Country Mission to Spain, March 2025</w:t>
            </w:r>
            <w:r w:rsidR="004A262D">
              <w:t>.</w:t>
            </w:r>
          </w:p>
        </w:tc>
      </w:tr>
    </w:tbl>
    <w:p w:rsidR="006A7A82" w:rsidP="006A7A82" w:rsidRDefault="006A7A82" w14:paraId="52F0C9FB" w14:textId="77777777">
      <w:pPr>
        <w:pStyle w:val="Para0"/>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6A7A82" w14:paraId="4A21B8F6"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6A7A82" w:rsidRDefault="00E801BF" w14:paraId="205E1488" w14:textId="11A02D8F">
            <w:pPr>
              <w:pStyle w:val="Caption"/>
            </w:pPr>
            <w:bookmarkStart w:name="_Ref215524684" w:id="120"/>
            <w:bookmarkStart w:name="_Toc223413821" w:id="121"/>
            <w:r>
              <w:rPr>
                <w:noProof/>
              </w:rPr>
              <w:drawing>
                <wp:anchor distT="0" distB="0" distL="114300" distR="114300" simplePos="0" relativeHeight="251658303" behindDoc="1" locked="0" layoutInCell="1" allowOverlap="1" wp14:anchorId="3786B7DD" wp14:editId="118D7D9D">
                  <wp:simplePos x="0" y="0"/>
                  <wp:positionH relativeFrom="column">
                    <wp:posOffset>-635</wp:posOffset>
                  </wp:positionH>
                  <wp:positionV relativeFrom="paragraph">
                    <wp:posOffset>3810</wp:posOffset>
                  </wp:positionV>
                  <wp:extent cx="914400" cy="914400"/>
                  <wp:effectExtent l="0" t="0" r="0" b="0"/>
                  <wp:wrapTight wrapText="bothSides">
                    <wp:wrapPolygon edited="0">
                      <wp:start x="7200" y="4050"/>
                      <wp:lineTo x="0" y="11250"/>
                      <wp:lineTo x="0" y="12600"/>
                      <wp:lineTo x="2700" y="17100"/>
                      <wp:lineTo x="19350" y="17100"/>
                      <wp:lineTo x="21150" y="13050"/>
                      <wp:lineTo x="21150" y="10800"/>
                      <wp:lineTo x="15300" y="6750"/>
                      <wp:lineTo x="10800" y="4050"/>
                      <wp:lineTo x="7200" y="4050"/>
                    </wp:wrapPolygon>
                  </wp:wrapTight>
                  <wp:docPr id="1039177610" name="Graphic 5" descr="Clou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951616" name="Graphic 1094951616" descr="Cloud with solid fill"/>
                          <pic:cNvPicPr/>
                        </pic:nvPicPr>
                        <pic:blipFill>
                          <a:blip r:embed="rId74">
                            <a:extLst>
                              <a:ext uri="{96DAC541-7B7A-43D3-8B79-37D633B846F1}">
                                <asvg:svgBlip xmlns:asvg="http://schemas.microsoft.com/office/drawing/2016/SVG/main" r:embed="rId75"/>
                              </a:ext>
                            </a:extLst>
                          </a:blip>
                          <a:stretch>
                            <a:fillRect/>
                          </a:stretch>
                        </pic:blipFill>
                        <pic:spPr>
                          <a:xfrm>
                            <a:off x="0" y="0"/>
                            <a:ext cx="914400" cy="914400"/>
                          </a:xfrm>
                          <a:prstGeom prst="rect">
                            <a:avLst/>
                          </a:prstGeom>
                        </pic:spPr>
                      </pic:pic>
                    </a:graphicData>
                  </a:graphic>
                </wp:anchor>
              </w:drawing>
            </w:r>
            <w:r w:rsidR="00C97481">
              <w:rPr>
                <w:noProof/>
              </w:rPr>
              <w:drawing>
                <wp:anchor distT="0" distB="0" distL="114300" distR="114300" simplePos="0" relativeHeight="251658290" behindDoc="1" locked="0" layoutInCell="1" allowOverlap="1" wp14:anchorId="200C60B8" wp14:editId="4F8FCAF2">
                  <wp:simplePos x="0" y="0"/>
                  <wp:positionH relativeFrom="column">
                    <wp:posOffset>4718050</wp:posOffset>
                  </wp:positionH>
                  <wp:positionV relativeFrom="paragraph">
                    <wp:posOffset>102870</wp:posOffset>
                  </wp:positionV>
                  <wp:extent cx="995125" cy="608965"/>
                  <wp:effectExtent l="0" t="0" r="0" b="635"/>
                  <wp:wrapTight wrapText="bothSides">
                    <wp:wrapPolygon edited="0">
                      <wp:start x="0" y="0"/>
                      <wp:lineTo x="0" y="20947"/>
                      <wp:lineTo x="21090" y="20947"/>
                      <wp:lineTo x="21090" y="0"/>
                      <wp:lineTo x="0" y="0"/>
                    </wp:wrapPolygon>
                  </wp:wrapTight>
                  <wp:docPr id="1162823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72188"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95125" cy="608965"/>
                          </a:xfrm>
                          <a:prstGeom prst="rect">
                            <a:avLst/>
                          </a:prstGeom>
                        </pic:spPr>
                      </pic:pic>
                    </a:graphicData>
                  </a:graphic>
                  <wp14:sizeRelH relativeFrom="margin">
                    <wp14:pctWidth>0</wp14:pctWidth>
                  </wp14:sizeRelH>
                  <wp14:sizeRelV relativeFrom="margin">
                    <wp14:pctHeight>0</wp14:pctHeight>
                  </wp14:sizeRelV>
                </wp:anchor>
              </w:drawing>
            </w:r>
            <w:r w:rsidRPr="00B44A50" w:rsidR="006A7A82">
              <w:t>Box</w:t>
            </w:r>
            <w:r w:rsidR="006A7A82">
              <w:t> </w:t>
            </w:r>
            <w:r w:rsidR="006A7A82">
              <w:rPr>
                <w:noProof/>
              </w:rPr>
              <w:fldChar w:fldCharType="begin"/>
            </w:r>
            <w:r w:rsidR="006A7A82">
              <w:rPr>
                <w:noProof/>
              </w:rPr>
              <w:instrText xml:space="preserve"> STYLEREF 1 \s </w:instrText>
            </w:r>
            <w:r w:rsidR="006A7A82">
              <w:rPr>
                <w:noProof/>
              </w:rPr>
              <w:fldChar w:fldCharType="separate"/>
            </w:r>
            <w:r w:rsidR="00543B3D">
              <w:rPr>
                <w:noProof/>
              </w:rPr>
              <w:t>3</w:t>
            </w:r>
            <w:r w:rsidR="006A7A82">
              <w:rPr>
                <w:noProof/>
              </w:rPr>
              <w:fldChar w:fldCharType="end"/>
            </w:r>
            <w:r w:rsidR="006A7A82">
              <w:t>.</w:t>
            </w:r>
            <w:r w:rsidR="006A7A82">
              <w:rPr>
                <w:noProof/>
              </w:rPr>
              <w:fldChar w:fldCharType="begin"/>
            </w:r>
            <w:r w:rsidR="006A7A82">
              <w:rPr>
                <w:noProof/>
              </w:rPr>
              <w:instrText xml:space="preserve"> SEQ Box \* ARABIC \s 1 </w:instrText>
            </w:r>
            <w:r w:rsidR="006A7A82">
              <w:rPr>
                <w:noProof/>
              </w:rPr>
              <w:fldChar w:fldCharType="separate"/>
            </w:r>
            <w:r w:rsidR="00543B3D">
              <w:rPr>
                <w:noProof/>
              </w:rPr>
              <w:t>17</w:t>
            </w:r>
            <w:r w:rsidR="006A7A82">
              <w:rPr>
                <w:noProof/>
              </w:rPr>
              <w:fldChar w:fldCharType="end"/>
            </w:r>
            <w:bookmarkEnd w:id="120"/>
            <w:r w:rsidR="006A7A82">
              <w:t xml:space="preserve">. </w:t>
            </w:r>
            <w:r w:rsidR="00A40062">
              <w:t>Finland – Losing a loved one</w:t>
            </w:r>
            <w:bookmarkEnd w:id="121"/>
            <w:r w:rsidR="00A40062">
              <w:t xml:space="preserve"> </w:t>
            </w:r>
            <w:r w:rsidR="00C97481">
              <w:t xml:space="preserve"> </w:t>
            </w:r>
          </w:p>
          <w:p w:rsidRPr="00436203" w:rsidR="00436203" w:rsidP="00DE0E6E" w:rsidRDefault="00436203" w14:paraId="3C9F017B" w14:textId="41393440">
            <w:pPr>
              <w:pStyle w:val="Para0"/>
              <w:rPr>
                <w:lang w:val="en-US"/>
              </w:rPr>
            </w:pPr>
            <w:r w:rsidRPr="00436203">
              <w:rPr>
                <w:lang w:val="en-US"/>
              </w:rPr>
              <w:t xml:space="preserve">Losing a loved one is one of the most emotionally challenging and administratively complex Life Events in </w:t>
            </w:r>
            <w:r w:rsidRPr="00832509">
              <w:rPr>
                <w:b/>
                <w:bCs/>
                <w:lang w:val="en-US"/>
              </w:rPr>
              <w:t>Finland</w:t>
            </w:r>
            <w:r w:rsidRPr="00436203">
              <w:rPr>
                <w:lang w:val="en-US"/>
              </w:rPr>
              <w:t>. Beneficiaries of the deceased are required to complete a wide range of administrative tasks, contacting multiple authorities and organisations to gather the information needed to form the death estate. This typically includes the time-consuming task of requesting family relationship reports from the Digital and Population Data Services Agency or local parishes. Additionally, the beneficiaries have to collect information on assets and liabilities from banks and insurance companies and to manage separate authorisation processes to act on behalf of the estate. These documents are then used to create the deed of estate, which must be submitted to the Tax Administration for inheritance taxation. Most of these processes are still paper</w:t>
            </w:r>
            <w:r w:rsidR="00AE1BB8">
              <w:rPr>
                <w:lang w:val="en-US"/>
              </w:rPr>
              <w:t xml:space="preserve"> </w:t>
            </w:r>
            <w:r w:rsidRPr="00436203">
              <w:rPr>
                <w:lang w:val="en-US"/>
              </w:rPr>
              <w:t xml:space="preserve">based, with scanned documents sent through one-way communication channels. Because of this administrative burden, </w:t>
            </w:r>
            <w:r w:rsidRPr="00436203" w:rsidR="00770EA3">
              <w:rPr>
                <w:lang w:val="en-US"/>
              </w:rPr>
              <w:t>losing</w:t>
            </w:r>
            <w:r w:rsidRPr="00436203">
              <w:rPr>
                <w:lang w:val="en-US"/>
              </w:rPr>
              <w:t xml:space="preserve"> a loved one consistently shows lower satisfaction levels than other Life Events in Finland, and is therefore a priority area for digitalisation.</w:t>
            </w:r>
          </w:p>
          <w:p w:rsidRPr="00DE0E6E" w:rsidR="00436203" w:rsidP="00DE0E6E" w:rsidRDefault="00436203" w14:paraId="7826F144" w14:textId="004E14DA">
            <w:pPr>
              <w:pStyle w:val="Para0"/>
              <w:rPr>
                <w:lang w:val="en-US"/>
              </w:rPr>
            </w:pPr>
            <w:r w:rsidRPr="00DE0E6E">
              <w:rPr>
                <w:lang w:val="en-US"/>
              </w:rPr>
              <w:t>Finland’s planned reforms for 2027 aim to significantly reduce the administrative burden on citizens. A new Digital Register for Estate Shareholders, integrated with MyTax, will allow beneficiaries to access a single service where they can view prefilled information on estate assets, create the deed of estate and inheritance tax return digitally, update register information, share documents with all beneficiaries, and receive step-by-step guidance. Data will flow automatically between the Tax Administration, the Digital and Population Data Services Agency, churches, and financial institutions, enabling more streamlined and eventually more automated processes</w:t>
            </w:r>
            <w:r w:rsidRPr="00DE0E6E" w:rsidR="00DE0E6E">
              <w:rPr>
                <w:lang w:val="en-US"/>
              </w:rPr>
              <w:t xml:space="preserve">. </w:t>
            </w:r>
          </w:p>
          <w:p w:rsidRPr="00775FF9" w:rsidR="006A7A82" w:rsidRDefault="006A7A82" w14:paraId="34DE2AEE" w14:textId="515356BD">
            <w:pPr>
              <w:pStyle w:val="Sourcenotes"/>
            </w:pPr>
            <w:r>
              <w:t xml:space="preserve">Source: </w:t>
            </w:r>
            <w:r w:rsidR="00436203">
              <w:t>Information gathered through TSI Country Mission to Finland, May 2025</w:t>
            </w:r>
          </w:p>
        </w:tc>
      </w:tr>
    </w:tbl>
    <w:p w:rsidR="007F2256" w:rsidP="007F2256" w:rsidRDefault="007F2256" w14:paraId="0B1E6B01" w14:textId="77777777">
      <w:pPr>
        <w:pStyle w:val="Heading2"/>
      </w:pPr>
      <w:bookmarkStart w:name="_Toc223413736" w:id="122"/>
      <w:r>
        <w:t>Tools for supporting the delivery of clear, seamless and integrated public services</w:t>
      </w:r>
      <w:bookmarkEnd w:id="117"/>
      <w:bookmarkEnd w:id="122"/>
      <w:r>
        <w:t xml:space="preserve">  </w:t>
      </w:r>
    </w:p>
    <w:p w:rsidR="00FF24C8" w:rsidP="00FF24C8" w:rsidRDefault="00FF24C8" w14:paraId="50228BCE" w14:textId="7070DC91">
      <w:pPr>
        <w:pStyle w:val="Para"/>
        <w:numPr>
          <w:ilvl w:val="0"/>
          <w:numId w:val="0"/>
        </w:numPr>
      </w:pPr>
      <w:r>
        <w:t xml:space="preserve">Several tools have been identified that can support countries in supporting </w:t>
      </w:r>
      <w:r w:rsidR="00767BD6">
        <w:t>the navigation of services</w:t>
      </w:r>
      <w:r>
        <w:t>, ensuring that</w:t>
      </w:r>
      <w:r w:rsidR="00767BD6">
        <w:t xml:space="preserve"> services are</w:t>
      </w:r>
      <w:r>
        <w:t xml:space="preserve"> (i) </w:t>
      </w:r>
      <w:r w:rsidR="00767BD6">
        <w:rPr>
          <w:b/>
          <w:bCs/>
        </w:rPr>
        <w:t xml:space="preserve">clear </w:t>
      </w:r>
      <w:r w:rsidR="00767BD6">
        <w:t xml:space="preserve">(ii) </w:t>
      </w:r>
      <w:r w:rsidRPr="00767BD6" w:rsidR="00767BD6">
        <w:rPr>
          <w:b/>
          <w:bCs/>
        </w:rPr>
        <w:t>seamless</w:t>
      </w:r>
      <w:r w:rsidR="00767BD6">
        <w:t xml:space="preserve"> and (iii) </w:t>
      </w:r>
      <w:r w:rsidRPr="00767BD6" w:rsidR="00767BD6">
        <w:rPr>
          <w:b/>
          <w:bCs/>
        </w:rPr>
        <w:t>integrated</w:t>
      </w:r>
      <w:r w:rsidR="00767BD6">
        <w:t xml:space="preserve">. </w:t>
      </w:r>
    </w:p>
    <w:p w:rsidR="00097749" w:rsidP="00097749" w:rsidRDefault="00097749" w14:paraId="3933D057" w14:textId="610E8D0A">
      <w:pPr>
        <w:pStyle w:val="Caption"/>
      </w:pPr>
      <w:bookmarkStart w:name="_Toc223413770" w:id="123"/>
      <w:r>
        <w:t>Figure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7</w:t>
      </w:r>
      <w:r>
        <w:rPr>
          <w:noProof/>
        </w:rPr>
        <w:fldChar w:fldCharType="end"/>
      </w:r>
      <w:r>
        <w:t>. Tools for Navigating Services</w:t>
      </w:r>
      <w:bookmarkEnd w:id="123"/>
      <w:r>
        <w:t xml:space="preserve"> </w:t>
      </w:r>
    </w:p>
    <w:p w:rsidRPr="00767BD6" w:rsidR="00097749" w:rsidP="00832509" w:rsidRDefault="00097749" w14:paraId="40F59923" w14:textId="270849DE">
      <w:pPr>
        <w:pStyle w:val="Para"/>
        <w:numPr>
          <w:ilvl w:val="0"/>
          <w:numId w:val="0"/>
        </w:numPr>
        <w:jc w:val="center"/>
      </w:pPr>
      <w:r w:rsidRPr="00097749">
        <w:rPr>
          <w:noProof/>
        </w:rPr>
        <w:drawing>
          <wp:inline distT="0" distB="0" distL="0" distR="0" wp14:anchorId="04069CAC" wp14:editId="4408B689">
            <wp:extent cx="4819650" cy="2073932"/>
            <wp:effectExtent l="0" t="0" r="0" b="2540"/>
            <wp:docPr id="1265999733"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99733" name="Picture 1" descr="A screenshot of a phone&#10;&#10;AI-generated content may be incorrect."/>
                    <pic:cNvPicPr/>
                  </pic:nvPicPr>
                  <pic:blipFill>
                    <a:blip r:embed="rId76"/>
                    <a:stretch>
                      <a:fillRect/>
                    </a:stretch>
                  </pic:blipFill>
                  <pic:spPr>
                    <a:xfrm>
                      <a:off x="0" y="0"/>
                      <a:ext cx="4830621" cy="2078653"/>
                    </a:xfrm>
                    <a:prstGeom prst="rect">
                      <a:avLst/>
                    </a:prstGeom>
                  </pic:spPr>
                </pic:pic>
              </a:graphicData>
            </a:graphic>
          </wp:inline>
        </w:drawing>
      </w:r>
    </w:p>
    <w:p w:rsidRPr="00097749" w:rsidR="00FF24C8" w:rsidP="00FF24C8" w:rsidRDefault="00097749" w14:paraId="585A361A" w14:textId="211CC597">
      <w:pPr>
        <w:pStyle w:val="Para"/>
        <w:numPr>
          <w:ilvl w:val="0"/>
          <w:numId w:val="0"/>
        </w:numPr>
        <w:rPr>
          <w:sz w:val="16"/>
          <w:szCs w:val="18"/>
        </w:rPr>
      </w:pPr>
      <w:r w:rsidRPr="00097749">
        <w:rPr>
          <w:sz w:val="16"/>
          <w:szCs w:val="18"/>
        </w:rPr>
        <w:t>Source: Author illustration</w:t>
      </w:r>
      <w:r w:rsidR="00AE1BB8">
        <w:rPr>
          <w:sz w:val="16"/>
          <w:szCs w:val="18"/>
        </w:rPr>
        <w:t>.</w:t>
      </w:r>
      <w:r w:rsidRPr="00097749">
        <w:rPr>
          <w:sz w:val="16"/>
          <w:szCs w:val="18"/>
        </w:rPr>
        <w:t xml:space="preserve"> </w:t>
      </w:r>
    </w:p>
    <w:p w:rsidR="00FF24C8" w:rsidP="00FF24C8" w:rsidRDefault="00097749" w14:paraId="1DE75E8A" w14:textId="7D1F738B">
      <w:pPr>
        <w:pStyle w:val="Para0"/>
      </w:pPr>
      <w:r>
        <w:t xml:space="preserve">The description of these tools and the types of actions that can be undertaken are presented in the Table below. </w:t>
      </w:r>
    </w:p>
    <w:p w:rsidRPr="0043495C" w:rsidR="00097749" w:rsidP="00097749" w:rsidRDefault="00097749" w14:paraId="4DEDFACE" w14:textId="61E20F59">
      <w:pPr>
        <w:pStyle w:val="Caption"/>
        <w:rPr>
          <w:bCs/>
        </w:rPr>
      </w:pPr>
      <w:bookmarkStart w:name="_Toc223413787" w:id="124"/>
      <w:r>
        <w:t>Table </w:t>
      </w:r>
      <w:r>
        <w:rPr>
          <w:noProof/>
        </w:rPr>
        <w:fldChar w:fldCharType="begin"/>
      </w:r>
      <w:r>
        <w:rPr>
          <w:noProof/>
        </w:rPr>
        <w:instrText xml:space="preserve"> STYLEREF 1 \s </w:instrText>
      </w:r>
      <w:r>
        <w:rPr>
          <w:noProof/>
        </w:rPr>
        <w:fldChar w:fldCharType="separate"/>
      </w:r>
      <w:r w:rsidR="00543B3D">
        <w:rPr>
          <w:noProof/>
        </w:rPr>
        <w:t>3</w:t>
      </w:r>
      <w:r>
        <w:rPr>
          <w:noProof/>
        </w:rPr>
        <w:fldChar w:fldCharType="end"/>
      </w:r>
      <w:r>
        <w:t>.</w:t>
      </w:r>
      <w:r>
        <w:rPr>
          <w:noProof/>
        </w:rPr>
        <w:fldChar w:fldCharType="begin"/>
      </w:r>
      <w:r>
        <w:rPr>
          <w:noProof/>
        </w:rPr>
        <w:instrText xml:space="preserve"> SEQ Table \* ARABIC \s 1 </w:instrText>
      </w:r>
      <w:r>
        <w:rPr>
          <w:noProof/>
        </w:rPr>
        <w:fldChar w:fldCharType="separate"/>
      </w:r>
      <w:r w:rsidR="00543B3D">
        <w:rPr>
          <w:noProof/>
        </w:rPr>
        <w:t>1</w:t>
      </w:r>
      <w:r>
        <w:rPr>
          <w:noProof/>
        </w:rPr>
        <w:fldChar w:fldCharType="end"/>
      </w:r>
      <w:r>
        <w:t xml:space="preserve">. Tools for </w:t>
      </w:r>
      <w:r w:rsidR="0022246E">
        <w:t>Navigating Public Services</w:t>
      </w:r>
      <w:bookmarkEnd w:id="124"/>
      <w:r w:rsidR="0022246E">
        <w:t xml:space="preserve"> </w:t>
      </w:r>
      <w:r>
        <w:t xml:space="preserve"> </w:t>
      </w:r>
    </w:p>
    <w:tbl>
      <w:tblPr>
        <w:tblStyle w:val="OEC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20" w:firstRow="1" w:lastRow="0" w:firstColumn="0" w:lastColumn="0" w:noHBand="0" w:noVBand="1"/>
      </w:tblPr>
      <w:tblGrid>
        <w:gridCol w:w="1792"/>
        <w:gridCol w:w="3671"/>
        <w:gridCol w:w="3825"/>
      </w:tblGrid>
      <w:tr w:rsidRPr="0043495C" w:rsidR="00097749" w:rsidTr="00832509" w14:paraId="384FB48E" w14:textId="77777777">
        <w:trPr>
          <w:trHeight w:val="238"/>
          <w:tblHeader/>
        </w:trPr>
        <w:tc>
          <w:tcPr>
            <w:tcW w:w="965" w:type="pct"/>
          </w:tcPr>
          <w:p w:rsidRPr="0043495C" w:rsidR="00097749" w:rsidRDefault="00097749" w14:paraId="3DBB94DE" w14:textId="77777777">
            <w:pPr>
              <w:pStyle w:val="TableColumn"/>
              <w:rPr>
                <w:b/>
                <w:bCs/>
              </w:rPr>
            </w:pPr>
            <w:r w:rsidRPr="0043495C">
              <w:rPr>
                <w:b/>
                <w:bCs/>
              </w:rPr>
              <w:t xml:space="preserve">Tool </w:t>
            </w:r>
          </w:p>
        </w:tc>
        <w:tc>
          <w:tcPr>
            <w:tcW w:w="1976" w:type="pct"/>
          </w:tcPr>
          <w:p w:rsidRPr="0043495C" w:rsidR="00097749" w:rsidRDefault="00097749" w14:paraId="604ACEEE" w14:textId="77777777">
            <w:pPr>
              <w:pStyle w:val="TableColumn"/>
              <w:rPr>
                <w:b/>
                <w:bCs/>
              </w:rPr>
            </w:pPr>
            <w:r w:rsidRPr="0043495C">
              <w:rPr>
                <w:b/>
                <w:bCs/>
              </w:rPr>
              <w:t xml:space="preserve">Description </w:t>
            </w:r>
          </w:p>
        </w:tc>
        <w:tc>
          <w:tcPr>
            <w:tcW w:w="2059" w:type="pct"/>
          </w:tcPr>
          <w:p w:rsidRPr="0043495C" w:rsidR="00097749" w:rsidRDefault="00097749" w14:paraId="30F168D6" w14:textId="77777777">
            <w:pPr>
              <w:pStyle w:val="TableColumn"/>
              <w:rPr>
                <w:b/>
                <w:bCs/>
              </w:rPr>
            </w:pPr>
            <w:r w:rsidRPr="0043495C">
              <w:rPr>
                <w:b/>
                <w:bCs/>
              </w:rPr>
              <w:t>Types of Actions</w:t>
            </w:r>
          </w:p>
        </w:tc>
      </w:tr>
      <w:tr w:rsidRPr="00454399" w:rsidR="00097749" w:rsidTr="00832509" w14:paraId="4E351881" w14:textId="77777777">
        <w:trPr>
          <w:trHeight w:val="238"/>
        </w:trPr>
        <w:tc>
          <w:tcPr>
            <w:tcW w:w="965" w:type="pct"/>
            <w:vAlign w:val="center"/>
          </w:tcPr>
          <w:p w:rsidRPr="00454399" w:rsidR="00097749" w:rsidRDefault="00097749" w14:paraId="64CE8B1E" w14:textId="77777777">
            <w:pPr>
              <w:pStyle w:val="TableRow"/>
              <w:jc w:val="left"/>
            </w:pPr>
            <w:r w:rsidRPr="00E0047A">
              <w:rPr>
                <w:rFonts w:eastAsia="Times New Roman" w:cs="Arial"/>
                <w:b/>
                <w:bCs/>
                <w:color w:val="3F3F3F"/>
                <w:kern w:val="24"/>
                <w:sz w:val="18"/>
                <w:szCs w:val="18"/>
              </w:rPr>
              <w:t xml:space="preserve">Life Event Approaches across government </w:t>
            </w:r>
          </w:p>
        </w:tc>
        <w:tc>
          <w:tcPr>
            <w:tcW w:w="1976" w:type="pct"/>
            <w:vAlign w:val="center"/>
          </w:tcPr>
          <w:p w:rsidRPr="00454399" w:rsidR="00097749" w:rsidRDefault="00097749" w14:paraId="62BBEE70" w14:textId="77777777">
            <w:pPr>
              <w:pStyle w:val="TableCell"/>
              <w:jc w:val="left"/>
            </w:pPr>
            <w:r>
              <w:rPr>
                <w:rFonts w:eastAsia="Times New Roman" w:cs="Arial"/>
                <w:color w:val="3F3F3F"/>
                <w:kern w:val="24"/>
                <w:sz w:val="18"/>
                <w:szCs w:val="18"/>
                <w:lang w:val="lv-LV"/>
              </w:rPr>
              <w:t xml:space="preserve">Building a life event approach for the country, starting with setting the list of life events, helps frame the country’s methodology and steps towards rolling it out. </w:t>
            </w:r>
            <w:r w:rsidRPr="00E0047A">
              <w:rPr>
                <w:rFonts w:eastAsia="Times New Roman" w:cs="Arial"/>
                <w:color w:val="3F3F3F"/>
                <w:kern w:val="24"/>
                <w:sz w:val="18"/>
                <w:szCs w:val="18"/>
                <w:lang w:val="lv-LV"/>
              </w:rPr>
              <w:t xml:space="preserve">Disseminating, clarifying and explaining information on Life Event Approaches can be a powerful tool to foster a better understanding and uptake of this approach across public administration. </w:t>
            </w:r>
          </w:p>
        </w:tc>
        <w:tc>
          <w:tcPr>
            <w:tcW w:w="2059" w:type="pct"/>
            <w:vAlign w:val="center"/>
          </w:tcPr>
          <w:p w:rsidR="00097749" w:rsidRDefault="00097749" w14:paraId="5EB73825" w14:textId="10FAA342">
            <w:pPr>
              <w:widowControl/>
              <w:numPr>
                <w:ilvl w:val="0"/>
                <w:numId w:val="12"/>
              </w:numPr>
              <w:ind w:left="323" w:hanging="323"/>
              <w:contextualSpacing/>
              <w:jc w:val="left"/>
              <w:rPr>
                <w:rFonts w:eastAsia="Times New Roman" w:cs="Arial"/>
                <w:color w:val="3F3F3F"/>
                <w:kern w:val="24"/>
                <w:sz w:val="18"/>
                <w:szCs w:val="18"/>
              </w:rPr>
            </w:pPr>
            <w:r>
              <w:rPr>
                <w:rFonts w:eastAsia="Times New Roman" w:cs="Arial"/>
                <w:color w:val="3F3F3F"/>
                <w:kern w:val="24"/>
                <w:sz w:val="18"/>
                <w:szCs w:val="18"/>
              </w:rPr>
              <w:t xml:space="preserve">Development of the life event approach and </w:t>
            </w:r>
            <w:r w:rsidR="00770EA3">
              <w:rPr>
                <w:rFonts w:eastAsia="Times New Roman" w:cs="Arial"/>
                <w:color w:val="3F3F3F"/>
                <w:kern w:val="24"/>
                <w:sz w:val="18"/>
                <w:szCs w:val="18"/>
              </w:rPr>
              <w:t>toolbox</w:t>
            </w:r>
            <w:r>
              <w:rPr>
                <w:rFonts w:eastAsia="Times New Roman" w:cs="Arial"/>
                <w:color w:val="3F3F3F"/>
                <w:kern w:val="24"/>
                <w:sz w:val="18"/>
                <w:szCs w:val="18"/>
              </w:rPr>
              <w:t xml:space="preserve"> in the country (from defining the list of life events to mapping user experiences on life events and implementing specific actions)</w:t>
            </w:r>
          </w:p>
          <w:p w:rsidR="00097749" w:rsidRDefault="00097749" w14:paraId="35F1CE24" w14:textId="77777777">
            <w:pPr>
              <w:widowControl/>
              <w:numPr>
                <w:ilvl w:val="0"/>
                <w:numId w:val="12"/>
              </w:numPr>
              <w:ind w:left="323" w:hanging="323"/>
              <w:contextualSpacing/>
              <w:jc w:val="left"/>
              <w:rPr>
                <w:rFonts w:eastAsia="Times New Roman" w:cs="Arial"/>
                <w:color w:val="3F3F3F"/>
                <w:kern w:val="24"/>
                <w:sz w:val="18"/>
                <w:szCs w:val="18"/>
              </w:rPr>
            </w:pPr>
            <w:r w:rsidRPr="000A78F9">
              <w:rPr>
                <w:rFonts w:eastAsia="Times New Roman" w:cs="Arial"/>
                <w:color w:val="3F3F3F"/>
                <w:kern w:val="24"/>
                <w:sz w:val="18"/>
                <w:szCs w:val="18"/>
              </w:rPr>
              <w:t>Life Event prototyping</w:t>
            </w:r>
          </w:p>
          <w:p w:rsidRPr="000A78F9" w:rsidR="00097749" w:rsidRDefault="00097749" w14:paraId="187E07BC" w14:textId="77777777">
            <w:pPr>
              <w:widowControl/>
              <w:numPr>
                <w:ilvl w:val="0"/>
                <w:numId w:val="12"/>
              </w:numPr>
              <w:ind w:left="323" w:hanging="323"/>
              <w:contextualSpacing/>
              <w:jc w:val="left"/>
              <w:rPr>
                <w:rFonts w:eastAsia="Times New Roman" w:cs="Arial"/>
                <w:color w:val="3F3F3F"/>
                <w:kern w:val="24"/>
                <w:sz w:val="18"/>
                <w:szCs w:val="18"/>
              </w:rPr>
            </w:pPr>
            <w:r>
              <w:rPr>
                <w:rFonts w:eastAsia="Times New Roman" w:cs="Arial"/>
                <w:color w:val="3F3F3F"/>
                <w:kern w:val="24"/>
                <w:sz w:val="18"/>
                <w:szCs w:val="18"/>
              </w:rPr>
              <w:t>Prioritisation tools on life events (surveys, data analysis)</w:t>
            </w:r>
            <w:r w:rsidRPr="000A78F9">
              <w:rPr>
                <w:rFonts w:eastAsia="Times New Roman" w:cs="Arial"/>
                <w:color w:val="3F3F3F"/>
                <w:kern w:val="24"/>
                <w:sz w:val="18"/>
                <w:szCs w:val="18"/>
              </w:rPr>
              <w:t xml:space="preserve"> </w:t>
            </w:r>
          </w:p>
          <w:p w:rsidR="00097749" w:rsidRDefault="00097749" w14:paraId="35FB63CE" w14:textId="77777777">
            <w:pPr>
              <w:widowControl/>
              <w:numPr>
                <w:ilvl w:val="0"/>
                <w:numId w:val="12"/>
              </w:numPr>
              <w:ind w:left="323" w:hanging="323"/>
              <w:contextualSpacing/>
              <w:jc w:val="left"/>
              <w:rPr>
                <w:rFonts w:eastAsia="Times New Roman" w:cs="Arial"/>
                <w:color w:val="3F3F3F"/>
                <w:kern w:val="24"/>
                <w:sz w:val="18"/>
                <w:szCs w:val="18"/>
              </w:rPr>
            </w:pPr>
            <w:r w:rsidRPr="000A78F9">
              <w:rPr>
                <w:rFonts w:eastAsia="Times New Roman" w:cs="Arial"/>
                <w:color w:val="3F3F3F"/>
                <w:kern w:val="24"/>
                <w:sz w:val="18"/>
                <w:szCs w:val="18"/>
              </w:rPr>
              <w:t>Dedicated and accessible internal webpages with information, methodology and tools for the adoption and improvement of Life Event Approaches</w:t>
            </w:r>
          </w:p>
          <w:p w:rsidRPr="00454399" w:rsidR="00097749" w:rsidRDefault="00097749" w14:paraId="0830ABA2" w14:textId="77777777">
            <w:pPr>
              <w:widowControl/>
              <w:numPr>
                <w:ilvl w:val="0"/>
                <w:numId w:val="12"/>
              </w:numPr>
              <w:ind w:left="323" w:hanging="323"/>
              <w:contextualSpacing/>
              <w:jc w:val="left"/>
            </w:pPr>
            <w:r>
              <w:rPr>
                <w:rFonts w:eastAsia="Times New Roman" w:cs="Arial"/>
                <w:color w:val="3F3F3F"/>
                <w:kern w:val="24"/>
                <w:sz w:val="18"/>
                <w:szCs w:val="18"/>
              </w:rPr>
              <w:t xml:space="preserve">Communication on life events - </w:t>
            </w:r>
            <w:r w:rsidRPr="000A78F9">
              <w:rPr>
                <w:rFonts w:eastAsia="Times New Roman" w:cs="Arial"/>
                <w:color w:val="3F3F3F"/>
                <w:kern w:val="24"/>
                <w:sz w:val="18"/>
                <w:szCs w:val="18"/>
              </w:rPr>
              <w:t>Events, conferences and exchanges on Life Event Approaches across administration</w:t>
            </w:r>
          </w:p>
        </w:tc>
      </w:tr>
      <w:tr w:rsidRPr="00454399" w:rsidR="00097749" w:rsidTr="00832509" w14:paraId="5904B27A" w14:textId="77777777">
        <w:trPr>
          <w:trHeight w:val="238"/>
        </w:trPr>
        <w:tc>
          <w:tcPr>
            <w:tcW w:w="965" w:type="pct"/>
          </w:tcPr>
          <w:p w:rsidRPr="00097749" w:rsidR="00097749" w:rsidP="00097749" w:rsidRDefault="00097749" w14:paraId="65F9DE9C" w14:textId="15736009">
            <w:pPr>
              <w:pStyle w:val="TableRow"/>
              <w:jc w:val="left"/>
              <w:rPr>
                <w:rFonts w:eastAsia="Times New Roman" w:cs="Arial"/>
                <w:b/>
                <w:bCs/>
                <w:color w:val="3F3F3F"/>
                <w:kern w:val="24"/>
                <w:sz w:val="18"/>
                <w:szCs w:val="18"/>
              </w:rPr>
            </w:pPr>
            <w:r>
              <w:rPr>
                <w:rFonts w:eastAsia="Times New Roman" w:cs="Arial"/>
                <w:b/>
                <w:bCs/>
                <w:color w:val="3F3F3F"/>
                <w:kern w:val="24"/>
                <w:sz w:val="18"/>
                <w:szCs w:val="18"/>
              </w:rPr>
              <w:t>P</w:t>
            </w:r>
            <w:r w:rsidRPr="00A440A8">
              <w:rPr>
                <w:rFonts w:eastAsia="Times New Roman" w:cs="Arial"/>
                <w:b/>
                <w:bCs/>
                <w:color w:val="3F3F3F"/>
                <w:kern w:val="24"/>
                <w:sz w:val="18"/>
                <w:szCs w:val="18"/>
              </w:rPr>
              <w:t>lain language standards</w:t>
            </w:r>
          </w:p>
        </w:tc>
        <w:tc>
          <w:tcPr>
            <w:tcW w:w="1976" w:type="pct"/>
          </w:tcPr>
          <w:p w:rsidRPr="00097749" w:rsidR="00097749" w:rsidP="00097749" w:rsidRDefault="00097749" w14:paraId="3DDDE708" w14:textId="0637FCB5">
            <w:pPr>
              <w:pStyle w:val="TableCell"/>
              <w:jc w:val="left"/>
              <w:rPr>
                <w:rFonts w:eastAsia="Times New Roman" w:cs="Arial"/>
                <w:color w:val="3F3F3F"/>
                <w:kern w:val="24"/>
                <w:sz w:val="18"/>
                <w:szCs w:val="18"/>
                <w:lang w:val="lv-LV"/>
              </w:rPr>
            </w:pPr>
            <w:r w:rsidRPr="00A440A8">
              <w:rPr>
                <w:rFonts w:eastAsia="Times New Roman" w:cs="Arial"/>
                <w:color w:val="3F3F3F"/>
                <w:kern w:val="24"/>
                <w:sz w:val="18"/>
                <w:szCs w:val="18"/>
                <w:lang w:val="lv-LV"/>
              </w:rPr>
              <w:t>Simple language in service delivery can foster a better understanding of service objectives and requirements among users. It ensures all users, regardless of their individual characteristics, can access and effectively navigate through service processes.</w:t>
            </w:r>
          </w:p>
        </w:tc>
        <w:tc>
          <w:tcPr>
            <w:tcW w:w="2059" w:type="pct"/>
          </w:tcPr>
          <w:p w:rsidRPr="00097749" w:rsidR="00097749" w:rsidP="00097749" w:rsidRDefault="00097749" w14:paraId="2CE67183" w14:textId="77777777">
            <w:pPr>
              <w:widowControl/>
              <w:numPr>
                <w:ilvl w:val="0"/>
                <w:numId w:val="12"/>
              </w:numPr>
              <w:ind w:left="323" w:hanging="323"/>
              <w:contextualSpacing/>
              <w:jc w:val="left"/>
              <w:rPr>
                <w:rFonts w:eastAsia="Times New Roman" w:cs="Arial"/>
                <w:color w:val="3F3F3F"/>
                <w:kern w:val="24"/>
                <w:sz w:val="18"/>
                <w:szCs w:val="18"/>
              </w:rPr>
            </w:pPr>
            <w:r w:rsidRPr="00A440A8">
              <w:rPr>
                <w:rFonts w:eastAsia="Times New Roman" w:cs="Arial"/>
                <w:color w:val="3F3F3F"/>
                <w:kern w:val="24"/>
                <w:sz w:val="18"/>
                <w:szCs w:val="18"/>
              </w:rPr>
              <w:t xml:space="preserve">Development of plain language standards and guidelines for the entire public administration </w:t>
            </w:r>
          </w:p>
          <w:p w:rsidRPr="00097749" w:rsidR="00097749" w:rsidP="00097749" w:rsidRDefault="00097749" w14:paraId="1F9D8C8D" w14:textId="77777777">
            <w:pPr>
              <w:widowControl/>
              <w:numPr>
                <w:ilvl w:val="0"/>
                <w:numId w:val="12"/>
              </w:numPr>
              <w:ind w:left="323" w:hanging="323"/>
              <w:contextualSpacing/>
              <w:jc w:val="left"/>
              <w:rPr>
                <w:rFonts w:eastAsia="Times New Roman" w:cs="Arial"/>
                <w:color w:val="3F3F3F"/>
                <w:kern w:val="24"/>
                <w:sz w:val="18"/>
                <w:szCs w:val="18"/>
              </w:rPr>
            </w:pPr>
            <w:r w:rsidRPr="00097749">
              <w:rPr>
                <w:rFonts w:eastAsia="Times New Roman" w:cs="Arial"/>
                <w:color w:val="3F3F3F"/>
                <w:kern w:val="24"/>
                <w:sz w:val="18"/>
                <w:szCs w:val="18"/>
              </w:rPr>
              <w:t>Redesign of service delivery with language simplification in mind</w:t>
            </w:r>
          </w:p>
          <w:p w:rsidRPr="00097749" w:rsidR="00097749" w:rsidP="00097749" w:rsidRDefault="00097749" w14:paraId="7A25CE84" w14:textId="77777777">
            <w:pPr>
              <w:widowControl/>
              <w:numPr>
                <w:ilvl w:val="0"/>
                <w:numId w:val="12"/>
              </w:numPr>
              <w:ind w:left="323" w:hanging="323"/>
              <w:contextualSpacing/>
              <w:jc w:val="left"/>
              <w:rPr>
                <w:rFonts w:eastAsia="Times New Roman" w:cs="Arial"/>
                <w:color w:val="3F3F3F"/>
                <w:kern w:val="24"/>
                <w:sz w:val="18"/>
                <w:szCs w:val="18"/>
              </w:rPr>
            </w:pPr>
            <w:r w:rsidRPr="00097749">
              <w:rPr>
                <w:rFonts w:eastAsia="Times New Roman" w:cs="Arial"/>
                <w:color w:val="3F3F3F"/>
                <w:kern w:val="24"/>
                <w:sz w:val="18"/>
                <w:szCs w:val="18"/>
              </w:rPr>
              <w:t xml:space="preserve">Creation of </w:t>
            </w:r>
            <w:r w:rsidRPr="00A440A8">
              <w:rPr>
                <w:rFonts w:eastAsia="Times New Roman" w:cs="Arial"/>
                <w:color w:val="3F3F3F"/>
                <w:kern w:val="24"/>
                <w:sz w:val="18"/>
                <w:szCs w:val="18"/>
              </w:rPr>
              <w:t>dedicated webpages on services in streamlined language</w:t>
            </w:r>
          </w:p>
          <w:p w:rsidRPr="00097749" w:rsidR="00097749" w:rsidP="00097749" w:rsidRDefault="00097749" w14:paraId="0B6FBF25" w14:textId="1770A13B">
            <w:pPr>
              <w:widowControl/>
              <w:numPr>
                <w:ilvl w:val="0"/>
                <w:numId w:val="12"/>
              </w:numPr>
              <w:ind w:left="323" w:hanging="323"/>
              <w:contextualSpacing/>
              <w:jc w:val="left"/>
              <w:rPr>
                <w:rFonts w:eastAsia="Times New Roman" w:cs="Arial"/>
                <w:color w:val="3F3F3F"/>
                <w:kern w:val="24"/>
                <w:sz w:val="18"/>
                <w:szCs w:val="18"/>
              </w:rPr>
            </w:pPr>
            <w:r w:rsidRPr="00A440A8">
              <w:rPr>
                <w:rFonts w:eastAsia="Times New Roman" w:cs="Arial"/>
                <w:color w:val="3F3F3F"/>
                <w:kern w:val="24"/>
                <w:sz w:val="18"/>
                <w:szCs w:val="18"/>
              </w:rPr>
              <w:t>Provision of dedicated glossary webpages and materials for users</w:t>
            </w:r>
          </w:p>
        </w:tc>
      </w:tr>
      <w:tr w:rsidRPr="00454399" w:rsidR="00097749" w:rsidTr="00832509" w14:paraId="669031E2" w14:textId="77777777">
        <w:trPr>
          <w:trHeight w:val="238"/>
        </w:trPr>
        <w:tc>
          <w:tcPr>
            <w:tcW w:w="965" w:type="pct"/>
            <w:vAlign w:val="center"/>
          </w:tcPr>
          <w:p w:rsidRPr="00097749" w:rsidR="00097749" w:rsidP="00097749" w:rsidRDefault="00097749" w14:paraId="243FC977" w14:textId="21AA1308">
            <w:pPr>
              <w:pStyle w:val="TableRow"/>
              <w:jc w:val="left"/>
              <w:rPr>
                <w:rFonts w:eastAsia="Times New Roman" w:cs="Arial"/>
                <w:b/>
                <w:bCs/>
                <w:color w:val="3F3F3F"/>
                <w:kern w:val="24"/>
                <w:sz w:val="18"/>
                <w:szCs w:val="18"/>
              </w:rPr>
            </w:pPr>
            <w:r w:rsidRPr="00097749">
              <w:rPr>
                <w:rFonts w:eastAsia="Times New Roman" w:cs="Arial"/>
                <w:b/>
                <w:bCs/>
                <w:color w:val="3F3F3F"/>
                <w:kern w:val="24"/>
                <w:sz w:val="18"/>
                <w:szCs w:val="18"/>
              </w:rPr>
              <w:t xml:space="preserve">Visual communication </w:t>
            </w:r>
          </w:p>
        </w:tc>
        <w:tc>
          <w:tcPr>
            <w:tcW w:w="1976" w:type="pct"/>
          </w:tcPr>
          <w:p w:rsidRPr="00097749" w:rsidR="00097749" w:rsidP="00097749" w:rsidRDefault="00097749" w14:paraId="3E209739" w14:textId="14A8E98F">
            <w:pPr>
              <w:pStyle w:val="TableCell"/>
              <w:jc w:val="left"/>
              <w:rPr>
                <w:rFonts w:eastAsia="Times New Roman" w:cs="Arial"/>
                <w:color w:val="3F3F3F"/>
                <w:kern w:val="24"/>
                <w:sz w:val="18"/>
                <w:szCs w:val="18"/>
                <w:lang w:val="lv-LV"/>
              </w:rPr>
            </w:pPr>
            <w:r w:rsidRPr="00097749">
              <w:rPr>
                <w:rFonts w:eastAsia="Times New Roman" w:cs="Arial"/>
                <w:color w:val="3F3F3F"/>
                <w:kern w:val="24"/>
                <w:sz w:val="18"/>
                <w:szCs w:val="18"/>
                <w:lang w:val="lv-LV"/>
              </w:rPr>
              <w:t>Visual materials such as images, simple graphs and diagrams support the written text, making it easier for users to quickly grasp the service and its processes.</w:t>
            </w:r>
          </w:p>
        </w:tc>
        <w:tc>
          <w:tcPr>
            <w:tcW w:w="2059" w:type="pct"/>
          </w:tcPr>
          <w:p w:rsidRPr="00097749" w:rsidR="00097749" w:rsidP="00097749" w:rsidRDefault="00097749" w14:paraId="2F14D526" w14:textId="77777777">
            <w:pPr>
              <w:widowControl/>
              <w:numPr>
                <w:ilvl w:val="0"/>
                <w:numId w:val="12"/>
              </w:numPr>
              <w:ind w:left="323" w:hanging="323"/>
              <w:contextualSpacing/>
              <w:jc w:val="left"/>
              <w:rPr>
                <w:rFonts w:eastAsia="Times New Roman" w:cs="Arial"/>
                <w:color w:val="3F3F3F"/>
                <w:kern w:val="24"/>
                <w:sz w:val="18"/>
                <w:szCs w:val="18"/>
              </w:rPr>
            </w:pPr>
            <w:r w:rsidRPr="00A440A8">
              <w:rPr>
                <w:rFonts w:eastAsia="Times New Roman" w:cs="Arial"/>
                <w:color w:val="3F3F3F"/>
                <w:kern w:val="24"/>
                <w:sz w:val="18"/>
                <w:szCs w:val="18"/>
              </w:rPr>
              <w:t>Integration of step-by-step progress diagrams to service communication</w:t>
            </w:r>
          </w:p>
          <w:p w:rsidRPr="00097749" w:rsidR="00097749" w:rsidP="00097749" w:rsidRDefault="00097749" w14:paraId="4D41EBDB" w14:textId="77777777">
            <w:pPr>
              <w:widowControl/>
              <w:numPr>
                <w:ilvl w:val="0"/>
                <w:numId w:val="12"/>
              </w:numPr>
              <w:ind w:left="323" w:hanging="323"/>
              <w:contextualSpacing/>
              <w:jc w:val="left"/>
              <w:rPr>
                <w:rFonts w:eastAsia="Times New Roman" w:cs="Arial"/>
                <w:color w:val="3F3F3F"/>
                <w:kern w:val="24"/>
                <w:sz w:val="18"/>
                <w:szCs w:val="18"/>
              </w:rPr>
            </w:pPr>
            <w:r w:rsidRPr="00A440A8">
              <w:rPr>
                <w:rFonts w:eastAsia="Times New Roman" w:cs="Arial"/>
                <w:color w:val="3F3F3F"/>
                <w:kern w:val="24"/>
                <w:sz w:val="18"/>
                <w:szCs w:val="18"/>
              </w:rPr>
              <w:t xml:space="preserve">Development of infographics and explainer videos </w:t>
            </w:r>
          </w:p>
          <w:p w:rsidRPr="00097749" w:rsidR="00097749" w:rsidP="00097749" w:rsidRDefault="00097749" w14:paraId="1DFBF91B" w14:textId="750218F8">
            <w:pPr>
              <w:widowControl/>
              <w:numPr>
                <w:ilvl w:val="0"/>
                <w:numId w:val="12"/>
              </w:numPr>
              <w:ind w:left="323" w:hanging="323"/>
              <w:contextualSpacing/>
              <w:jc w:val="left"/>
              <w:rPr>
                <w:rFonts w:eastAsia="Times New Roman" w:cs="Arial"/>
                <w:color w:val="3F3F3F"/>
                <w:kern w:val="24"/>
                <w:sz w:val="18"/>
                <w:szCs w:val="18"/>
              </w:rPr>
            </w:pPr>
            <w:r w:rsidRPr="00A440A8">
              <w:rPr>
                <w:rFonts w:eastAsia="Times New Roman" w:cs="Arial"/>
                <w:color w:val="3F3F3F"/>
                <w:kern w:val="24"/>
                <w:sz w:val="18"/>
                <w:szCs w:val="18"/>
              </w:rPr>
              <w:t>Collaboration and co-creation of a service presentation with artists and communication specialists</w:t>
            </w:r>
          </w:p>
        </w:tc>
      </w:tr>
      <w:tr w:rsidRPr="00454399" w:rsidR="00097749" w:rsidTr="00832509" w14:paraId="377160DB" w14:textId="77777777">
        <w:trPr>
          <w:trHeight w:val="238"/>
        </w:trPr>
        <w:tc>
          <w:tcPr>
            <w:tcW w:w="965" w:type="pct"/>
          </w:tcPr>
          <w:p w:rsidRPr="00097749" w:rsidR="00097749" w:rsidP="00097749" w:rsidRDefault="00097749" w14:paraId="44D6AA54" w14:textId="25FDED7D">
            <w:pPr>
              <w:pStyle w:val="TableRow"/>
              <w:jc w:val="left"/>
              <w:rPr>
                <w:rFonts w:eastAsia="Times New Roman" w:cs="Arial"/>
                <w:b/>
                <w:bCs/>
                <w:color w:val="3F3F3F"/>
                <w:kern w:val="24"/>
                <w:sz w:val="18"/>
                <w:szCs w:val="18"/>
              </w:rPr>
            </w:pPr>
            <w:r w:rsidRPr="00097749">
              <w:rPr>
                <w:rFonts w:eastAsia="Times New Roman" w:cs="Arial"/>
                <w:b/>
                <w:bCs/>
                <w:color w:val="3F3F3F"/>
                <w:kern w:val="24"/>
                <w:sz w:val="18"/>
                <w:szCs w:val="18"/>
              </w:rPr>
              <w:t xml:space="preserve">User-testing of information </w:t>
            </w:r>
          </w:p>
        </w:tc>
        <w:tc>
          <w:tcPr>
            <w:tcW w:w="1976" w:type="pct"/>
          </w:tcPr>
          <w:p w:rsidRPr="00454399" w:rsidR="00097749" w:rsidP="00097749" w:rsidRDefault="00097749" w14:paraId="7A5142B0" w14:textId="198C9E38">
            <w:pPr>
              <w:pStyle w:val="TableCell"/>
              <w:jc w:val="left"/>
            </w:pPr>
            <w:r w:rsidRPr="00A440A8">
              <w:rPr>
                <w:rFonts w:eastAsia="Times New Roman" w:cs="Arial"/>
                <w:color w:val="3F3F3F"/>
                <w:kern w:val="24"/>
                <w:sz w:val="18"/>
                <w:szCs w:val="18"/>
              </w:rPr>
              <w:t>User-testing of information allows for running the prepared texts through potential service users before this information and support materials are available to the broader public</w:t>
            </w:r>
          </w:p>
        </w:tc>
        <w:tc>
          <w:tcPr>
            <w:tcW w:w="2059" w:type="pct"/>
          </w:tcPr>
          <w:p w:rsidRPr="00097749" w:rsidR="00097749" w:rsidP="00097749" w:rsidRDefault="00097749" w14:paraId="429E7A99" w14:textId="77777777">
            <w:pPr>
              <w:widowControl/>
              <w:numPr>
                <w:ilvl w:val="0"/>
                <w:numId w:val="12"/>
              </w:numPr>
              <w:ind w:left="323" w:hanging="323"/>
              <w:contextualSpacing/>
              <w:jc w:val="left"/>
              <w:rPr>
                <w:rFonts w:eastAsia="Times New Roman" w:cs="Arial"/>
                <w:color w:val="3F3F3F"/>
                <w:kern w:val="24"/>
                <w:sz w:val="18"/>
                <w:szCs w:val="18"/>
              </w:rPr>
            </w:pPr>
            <w:r w:rsidRPr="00A440A8">
              <w:rPr>
                <w:rFonts w:eastAsia="Times New Roman" w:cs="Arial"/>
                <w:color w:val="3F3F3F"/>
                <w:kern w:val="24"/>
                <w:sz w:val="18"/>
                <w:szCs w:val="18"/>
              </w:rPr>
              <w:t xml:space="preserve">User testing of digital platforms </w:t>
            </w:r>
          </w:p>
          <w:p w:rsidRPr="00097749" w:rsidR="00097749" w:rsidP="00097749" w:rsidRDefault="00097749" w14:paraId="54D21885" w14:textId="77777777">
            <w:pPr>
              <w:widowControl/>
              <w:numPr>
                <w:ilvl w:val="0"/>
                <w:numId w:val="12"/>
              </w:numPr>
              <w:ind w:left="323" w:hanging="323"/>
              <w:contextualSpacing/>
              <w:jc w:val="left"/>
              <w:rPr>
                <w:rFonts w:eastAsia="Times New Roman" w:cs="Arial"/>
                <w:color w:val="3F3F3F"/>
                <w:kern w:val="24"/>
                <w:sz w:val="18"/>
                <w:szCs w:val="18"/>
              </w:rPr>
            </w:pPr>
            <w:r w:rsidRPr="00A440A8">
              <w:rPr>
                <w:rFonts w:eastAsia="Times New Roman" w:cs="Arial"/>
                <w:color w:val="3F3F3F"/>
                <w:kern w:val="24"/>
                <w:sz w:val="18"/>
                <w:szCs w:val="18"/>
              </w:rPr>
              <w:t>User testing of leaflets, posters and other physical communication materials</w:t>
            </w:r>
          </w:p>
          <w:p w:rsidRPr="00454399" w:rsidR="00097749" w:rsidP="00097749" w:rsidRDefault="00097749" w14:paraId="4DB86E6E" w14:textId="1B039776">
            <w:pPr>
              <w:widowControl/>
              <w:numPr>
                <w:ilvl w:val="0"/>
                <w:numId w:val="12"/>
              </w:numPr>
              <w:ind w:left="323" w:hanging="323"/>
              <w:contextualSpacing/>
              <w:jc w:val="left"/>
            </w:pPr>
            <w:r w:rsidRPr="00A440A8">
              <w:rPr>
                <w:rFonts w:eastAsia="Times New Roman" w:cs="Arial"/>
                <w:color w:val="3F3F3F"/>
                <w:kern w:val="24"/>
                <w:sz w:val="18"/>
                <w:szCs w:val="18"/>
              </w:rPr>
              <w:t>Focus groups for testing different ways of communicating information</w:t>
            </w:r>
          </w:p>
        </w:tc>
      </w:tr>
      <w:tr w:rsidRPr="00454399" w:rsidR="00097749" w:rsidTr="00832509" w14:paraId="7C5477C3" w14:textId="77777777">
        <w:trPr>
          <w:trHeight w:val="238"/>
        </w:trPr>
        <w:tc>
          <w:tcPr>
            <w:tcW w:w="965" w:type="pct"/>
          </w:tcPr>
          <w:p w:rsidRPr="00097749" w:rsidR="00097749" w:rsidP="00097749" w:rsidRDefault="00097749" w14:paraId="139D84CF" w14:textId="5B342745">
            <w:pPr>
              <w:pStyle w:val="TableRow"/>
              <w:jc w:val="left"/>
              <w:rPr>
                <w:rFonts w:eastAsia="Times New Roman" w:cs="Arial"/>
                <w:b/>
                <w:bCs/>
                <w:color w:val="3F3F3F"/>
                <w:kern w:val="24"/>
                <w:sz w:val="18"/>
                <w:szCs w:val="18"/>
              </w:rPr>
            </w:pPr>
            <w:r>
              <w:rPr>
                <w:rFonts w:eastAsia="Times New Roman" w:cs="Arial"/>
                <w:b/>
                <w:bCs/>
                <w:color w:val="3F3F3F"/>
                <w:kern w:val="24"/>
                <w:sz w:val="18"/>
                <w:szCs w:val="18"/>
              </w:rPr>
              <w:t>H</w:t>
            </w:r>
            <w:r w:rsidRPr="00A440A8">
              <w:rPr>
                <w:rFonts w:eastAsia="Times New Roman" w:cs="Arial"/>
                <w:b/>
                <w:bCs/>
                <w:color w:val="3F3F3F"/>
                <w:kern w:val="24"/>
                <w:sz w:val="18"/>
                <w:szCs w:val="18"/>
              </w:rPr>
              <w:t xml:space="preserve">orizontal public service transformation funds </w:t>
            </w:r>
          </w:p>
        </w:tc>
        <w:tc>
          <w:tcPr>
            <w:tcW w:w="1976" w:type="pct"/>
          </w:tcPr>
          <w:p w:rsidRPr="00454399" w:rsidR="00097749" w:rsidP="00097749" w:rsidRDefault="00097749" w14:paraId="1CFCA51C" w14:textId="1C9E80BF">
            <w:pPr>
              <w:pStyle w:val="TableCell"/>
              <w:jc w:val="left"/>
            </w:pPr>
            <w:r w:rsidRPr="00A440A8">
              <w:rPr>
                <w:rFonts w:eastAsia="Times New Roman" w:cs="Arial"/>
                <w:color w:val="3F3F3F"/>
                <w:kern w:val="24"/>
                <w:sz w:val="18"/>
                <w:szCs w:val="18"/>
              </w:rPr>
              <w:t>Internal public service transformation funds can incentivise public</w:t>
            </w:r>
            <w:r>
              <w:rPr>
                <w:rFonts w:eastAsia="Times New Roman" w:cs="Arial"/>
                <w:color w:val="3F3F3F"/>
                <w:kern w:val="24"/>
                <w:sz w:val="18"/>
                <w:szCs w:val="18"/>
              </w:rPr>
              <w:t xml:space="preserve"> institutions and</w:t>
            </w:r>
            <w:r w:rsidRPr="00A440A8">
              <w:rPr>
                <w:rFonts w:eastAsia="Times New Roman" w:cs="Arial"/>
                <w:color w:val="3F3F3F"/>
                <w:kern w:val="24"/>
                <w:sz w:val="18"/>
                <w:szCs w:val="18"/>
              </w:rPr>
              <w:t xml:space="preserve"> servants to </w:t>
            </w:r>
            <w:r>
              <w:rPr>
                <w:rFonts w:eastAsia="Times New Roman" w:cs="Arial"/>
                <w:color w:val="3F3F3F"/>
                <w:kern w:val="24"/>
                <w:sz w:val="18"/>
                <w:szCs w:val="18"/>
              </w:rPr>
              <w:t>pilot and test new ideas, to</w:t>
            </w:r>
            <w:r w:rsidRPr="00A440A8">
              <w:rPr>
                <w:rFonts w:eastAsia="Times New Roman" w:cs="Arial"/>
                <w:color w:val="3F3F3F"/>
                <w:kern w:val="24"/>
                <w:sz w:val="18"/>
                <w:szCs w:val="18"/>
              </w:rPr>
              <w:t xml:space="preserve"> integrate innovation in service delivery and foster cross-entity collaboration for better public services.</w:t>
            </w:r>
          </w:p>
        </w:tc>
        <w:tc>
          <w:tcPr>
            <w:tcW w:w="2059" w:type="pct"/>
          </w:tcPr>
          <w:p w:rsidRPr="00097749" w:rsidR="00097749" w:rsidP="00097749" w:rsidRDefault="00097749" w14:paraId="07BDCF92" w14:textId="77777777">
            <w:pPr>
              <w:widowControl/>
              <w:numPr>
                <w:ilvl w:val="0"/>
                <w:numId w:val="12"/>
              </w:numPr>
              <w:ind w:left="323" w:hanging="323"/>
              <w:contextualSpacing/>
              <w:jc w:val="left"/>
              <w:rPr>
                <w:rFonts w:eastAsia="Times New Roman" w:cs="Arial"/>
                <w:color w:val="3F3F3F"/>
                <w:kern w:val="24"/>
                <w:sz w:val="18"/>
                <w:szCs w:val="18"/>
              </w:rPr>
            </w:pPr>
            <w:r w:rsidRPr="00A440A8">
              <w:rPr>
                <w:rFonts w:eastAsia="Times New Roman" w:cs="Arial"/>
                <w:color w:val="3F3F3F"/>
                <w:kern w:val="24"/>
                <w:sz w:val="18"/>
                <w:szCs w:val="18"/>
              </w:rPr>
              <w:t>Definition of objectives and scope of transformation funds</w:t>
            </w:r>
          </w:p>
          <w:p w:rsidRPr="00DF008F" w:rsidR="00097749" w:rsidP="00097749" w:rsidRDefault="00097749" w14:paraId="17D0BFA6" w14:textId="77777777">
            <w:pPr>
              <w:widowControl/>
              <w:numPr>
                <w:ilvl w:val="0"/>
                <w:numId w:val="12"/>
              </w:numPr>
              <w:ind w:left="323" w:hanging="323"/>
              <w:contextualSpacing/>
              <w:jc w:val="left"/>
              <w:rPr>
                <w:rFonts w:eastAsia="Times New Roman" w:cs="Arial"/>
                <w:color w:val="3F3F3F"/>
                <w:kern w:val="24"/>
                <w:sz w:val="18"/>
                <w:szCs w:val="18"/>
              </w:rPr>
            </w:pPr>
            <w:r w:rsidRPr="006A388E">
              <w:rPr>
                <w:rFonts w:eastAsia="Times New Roman" w:cs="Arial"/>
                <w:color w:val="3F3F3F"/>
                <w:kern w:val="24"/>
                <w:sz w:val="18"/>
                <w:szCs w:val="18"/>
              </w:rPr>
              <w:t xml:space="preserve">Establishment of processes </w:t>
            </w:r>
            <w:r>
              <w:rPr>
                <w:rFonts w:eastAsia="Times New Roman" w:cs="Arial"/>
                <w:color w:val="3F3F3F"/>
                <w:kern w:val="24"/>
                <w:sz w:val="18"/>
                <w:szCs w:val="18"/>
              </w:rPr>
              <w:t xml:space="preserve">and support entities/units </w:t>
            </w:r>
            <w:r w:rsidRPr="006A388E">
              <w:rPr>
                <w:rFonts w:eastAsia="Times New Roman" w:cs="Arial"/>
                <w:color w:val="3F3F3F"/>
                <w:kern w:val="24"/>
                <w:sz w:val="18"/>
                <w:szCs w:val="18"/>
              </w:rPr>
              <w:t>to allocate the funds</w:t>
            </w:r>
          </w:p>
          <w:p w:rsidRPr="00097749" w:rsidR="00097749" w:rsidP="00097749" w:rsidRDefault="00097749" w14:paraId="3E551234" w14:textId="77777777">
            <w:pPr>
              <w:widowControl/>
              <w:numPr>
                <w:ilvl w:val="0"/>
                <w:numId w:val="12"/>
              </w:numPr>
              <w:ind w:left="323" w:hanging="323"/>
              <w:contextualSpacing/>
              <w:jc w:val="left"/>
              <w:rPr>
                <w:rFonts w:eastAsia="Times New Roman" w:cs="Arial"/>
                <w:color w:val="3F3F3F"/>
                <w:kern w:val="24"/>
                <w:sz w:val="18"/>
                <w:szCs w:val="18"/>
              </w:rPr>
            </w:pPr>
            <w:r w:rsidRPr="00A440A8">
              <w:rPr>
                <w:rFonts w:eastAsia="Times New Roman" w:cs="Arial"/>
                <w:color w:val="3F3F3F"/>
                <w:kern w:val="24"/>
                <w:sz w:val="18"/>
                <w:szCs w:val="18"/>
              </w:rPr>
              <w:t>Collaboration with innovators from various fields, including academia and private sector</w:t>
            </w:r>
          </w:p>
          <w:p w:rsidRPr="00097749" w:rsidR="00097749" w:rsidP="00097749" w:rsidRDefault="00097749" w14:paraId="7AC1EAAA" w14:textId="60A838FE">
            <w:pPr>
              <w:widowControl/>
              <w:numPr>
                <w:ilvl w:val="0"/>
                <w:numId w:val="12"/>
              </w:numPr>
              <w:ind w:left="323" w:hanging="323"/>
              <w:contextualSpacing/>
              <w:jc w:val="left"/>
              <w:rPr>
                <w:rFonts w:eastAsia="Times New Roman" w:cs="Arial"/>
                <w:color w:val="3F3F3F"/>
                <w:kern w:val="24"/>
                <w:sz w:val="18"/>
                <w:szCs w:val="18"/>
              </w:rPr>
            </w:pPr>
            <w:r>
              <w:rPr>
                <w:rFonts w:eastAsia="Times New Roman" w:cs="Arial"/>
                <w:color w:val="3F3F3F"/>
                <w:kern w:val="24"/>
                <w:sz w:val="18"/>
                <w:szCs w:val="18"/>
              </w:rPr>
              <w:t>Monitoring and evaluation of the use of funds and their impacts</w:t>
            </w:r>
          </w:p>
        </w:tc>
      </w:tr>
      <w:tr w:rsidRPr="00454399" w:rsidR="00097749" w:rsidTr="00832509" w14:paraId="22A2E8AE" w14:textId="77777777">
        <w:trPr>
          <w:trHeight w:val="238"/>
        </w:trPr>
        <w:tc>
          <w:tcPr>
            <w:tcW w:w="965" w:type="pct"/>
          </w:tcPr>
          <w:p w:rsidR="00097749" w:rsidP="00097749" w:rsidRDefault="00097749" w14:paraId="4F83655B" w14:textId="42A360FD">
            <w:pPr>
              <w:pStyle w:val="TableRow"/>
              <w:jc w:val="left"/>
              <w:rPr>
                <w:rFonts w:eastAsia="Times New Roman" w:cs="Arial"/>
                <w:b/>
                <w:bCs/>
                <w:color w:val="3F3F3F"/>
                <w:kern w:val="24"/>
                <w:sz w:val="18"/>
                <w:szCs w:val="18"/>
              </w:rPr>
            </w:pPr>
            <w:r>
              <w:rPr>
                <w:rFonts w:eastAsia="Times New Roman" w:cs="Arial"/>
                <w:b/>
                <w:bCs/>
                <w:color w:val="3F3F3F"/>
                <w:kern w:val="24"/>
                <w:sz w:val="18"/>
                <w:szCs w:val="18"/>
                <w:lang w:val="fr-FR"/>
              </w:rPr>
              <w:t>Mobility and</w:t>
            </w:r>
            <w:r w:rsidRPr="00A440A8">
              <w:rPr>
                <w:rFonts w:eastAsia="Times New Roman" w:cs="Arial"/>
                <w:b/>
                <w:bCs/>
                <w:color w:val="3F3F3F"/>
                <w:kern w:val="24"/>
                <w:sz w:val="18"/>
                <w:szCs w:val="18"/>
                <w:lang w:val="fr-FR"/>
              </w:rPr>
              <w:t xml:space="preserve"> secondment programmes </w:t>
            </w:r>
          </w:p>
        </w:tc>
        <w:tc>
          <w:tcPr>
            <w:tcW w:w="1976" w:type="pct"/>
          </w:tcPr>
          <w:p w:rsidRPr="00E0047A" w:rsidR="00097749" w:rsidP="00097749" w:rsidRDefault="00097749" w14:paraId="7ED43516" w14:textId="10CCA9F9">
            <w:pPr>
              <w:pStyle w:val="TableCell"/>
              <w:jc w:val="left"/>
              <w:rPr>
                <w:rFonts w:eastAsia="Times New Roman" w:cs="Arial"/>
                <w:color w:val="3F3F3F"/>
                <w:kern w:val="24"/>
                <w:sz w:val="18"/>
                <w:szCs w:val="18"/>
              </w:rPr>
            </w:pPr>
            <w:r w:rsidRPr="00A440A8">
              <w:rPr>
                <w:rFonts w:eastAsia="Times New Roman" w:cs="Arial"/>
                <w:color w:val="3F3F3F"/>
                <w:kern w:val="24"/>
                <w:sz w:val="18"/>
                <w:szCs w:val="18"/>
              </w:rPr>
              <w:t>Enhancing staff exchange between ministries and public agencies fosters the critical exchange of knowledge, experience and contacts regarding service design and delivery. This process enables more informed decision-making and strengthens inter-agency collaboration.</w:t>
            </w:r>
            <w:r>
              <w:rPr>
                <w:rFonts w:eastAsia="Times New Roman" w:cs="Arial"/>
                <w:color w:val="3F3F3F"/>
                <w:kern w:val="24"/>
                <w:sz w:val="18"/>
                <w:szCs w:val="18"/>
              </w:rPr>
              <w:t xml:space="preserve"> It helps see constraints and possible improvements in processes and in exchanges between organisations.</w:t>
            </w:r>
          </w:p>
        </w:tc>
        <w:tc>
          <w:tcPr>
            <w:tcW w:w="2059" w:type="pct"/>
          </w:tcPr>
          <w:p w:rsidRPr="00097749" w:rsidR="00097749" w:rsidP="00097749" w:rsidRDefault="00097749" w14:paraId="16A163B1" w14:textId="77777777">
            <w:pPr>
              <w:widowControl/>
              <w:numPr>
                <w:ilvl w:val="0"/>
                <w:numId w:val="12"/>
              </w:numPr>
              <w:ind w:left="323" w:hanging="323"/>
              <w:contextualSpacing/>
              <w:jc w:val="left"/>
              <w:rPr>
                <w:rFonts w:eastAsia="Times New Roman" w:cs="Arial"/>
                <w:color w:val="3F3F3F"/>
                <w:kern w:val="24"/>
                <w:sz w:val="18"/>
                <w:szCs w:val="18"/>
              </w:rPr>
            </w:pPr>
            <w:r w:rsidRPr="00A440A8">
              <w:rPr>
                <w:rFonts w:eastAsia="Times New Roman" w:cs="Arial"/>
                <w:color w:val="3F3F3F"/>
                <w:kern w:val="24"/>
                <w:sz w:val="18"/>
                <w:szCs w:val="18"/>
              </w:rPr>
              <w:t xml:space="preserve">Bilateral/Multilateral agreements between two or more ministries/public agencies about the practice of secondment </w:t>
            </w:r>
            <w:r>
              <w:rPr>
                <w:rFonts w:eastAsia="Times New Roman" w:cs="Arial"/>
                <w:color w:val="3F3F3F"/>
                <w:kern w:val="24"/>
                <w:sz w:val="18"/>
                <w:szCs w:val="18"/>
              </w:rPr>
              <w:t>/mobility</w:t>
            </w:r>
          </w:p>
          <w:p w:rsidRPr="00097749" w:rsidR="00097749" w:rsidP="00097749" w:rsidRDefault="00097749" w14:paraId="6D63A44C" w14:textId="487A338C">
            <w:pPr>
              <w:widowControl/>
              <w:numPr>
                <w:ilvl w:val="0"/>
                <w:numId w:val="12"/>
              </w:numPr>
              <w:ind w:left="323" w:hanging="323"/>
              <w:contextualSpacing/>
              <w:jc w:val="left"/>
              <w:rPr>
                <w:rFonts w:eastAsia="Times New Roman" w:cs="Arial"/>
                <w:color w:val="3F3F3F"/>
                <w:kern w:val="24"/>
                <w:sz w:val="18"/>
                <w:szCs w:val="18"/>
              </w:rPr>
            </w:pPr>
            <w:r w:rsidRPr="006A388E">
              <w:rPr>
                <w:rFonts w:eastAsia="Times New Roman" w:cs="Arial"/>
                <w:color w:val="3F3F3F"/>
                <w:kern w:val="24"/>
                <w:sz w:val="18"/>
                <w:szCs w:val="18"/>
              </w:rPr>
              <w:t>Publication of mobility offers on civil service recruitment (internal) website</w:t>
            </w:r>
          </w:p>
        </w:tc>
      </w:tr>
      <w:tr w:rsidRPr="00454399" w:rsidR="00097749" w:rsidTr="00832509" w14:paraId="202CDF44" w14:textId="77777777">
        <w:trPr>
          <w:trHeight w:val="238"/>
        </w:trPr>
        <w:tc>
          <w:tcPr>
            <w:tcW w:w="965" w:type="pct"/>
          </w:tcPr>
          <w:p w:rsidR="00097749" w:rsidP="00097749" w:rsidRDefault="00097749" w14:paraId="5EC5126E" w14:textId="4E053818">
            <w:pPr>
              <w:pStyle w:val="TableRow"/>
              <w:rPr>
                <w:rFonts w:eastAsia="Times New Roman" w:cs="Arial"/>
                <w:b/>
                <w:bCs/>
                <w:color w:val="3F3F3F"/>
                <w:kern w:val="24"/>
                <w:sz w:val="18"/>
                <w:szCs w:val="18"/>
              </w:rPr>
            </w:pPr>
            <w:r w:rsidRPr="00A440A8">
              <w:rPr>
                <w:rFonts w:eastAsia="Times New Roman" w:cs="Arial"/>
                <w:b/>
                <w:bCs/>
                <w:color w:val="3F3F3F"/>
                <w:kern w:val="24"/>
                <w:sz w:val="18"/>
                <w:szCs w:val="18"/>
              </w:rPr>
              <w:t xml:space="preserve">Deployment of one-stop shops </w:t>
            </w:r>
          </w:p>
        </w:tc>
        <w:tc>
          <w:tcPr>
            <w:tcW w:w="1976" w:type="pct"/>
          </w:tcPr>
          <w:p w:rsidRPr="00E0047A" w:rsidR="00097749" w:rsidP="00097749" w:rsidRDefault="00097749" w14:paraId="49610125" w14:textId="3945D69F">
            <w:pPr>
              <w:pStyle w:val="TableCell"/>
              <w:jc w:val="left"/>
              <w:rPr>
                <w:rFonts w:eastAsia="Times New Roman" w:cs="Arial"/>
                <w:color w:val="3F3F3F"/>
                <w:kern w:val="24"/>
                <w:sz w:val="18"/>
                <w:szCs w:val="18"/>
                <w:lang w:val="lv-LV"/>
              </w:rPr>
            </w:pPr>
            <w:r w:rsidRPr="00A440A8">
              <w:rPr>
                <w:rFonts w:eastAsia="Times New Roman" w:cs="Arial"/>
                <w:color w:val="3F3F3F"/>
                <w:kern w:val="24"/>
                <w:sz w:val="18"/>
                <w:szCs w:val="18"/>
                <w:lang w:val="lv-LV"/>
              </w:rPr>
              <w:t>One-stop-shops ensure service delivery that integrates services from various providers across different entities and levels of government. This in turn allows users to receive various services in one place,</w:t>
            </w:r>
            <w:r w:rsidRPr="00A440A8">
              <w:rPr>
                <w:rFonts w:eastAsia="Times New Roman" w:cs="Arial"/>
                <w:color w:val="3F3F3F"/>
                <w:kern w:val="24"/>
                <w:sz w:val="18"/>
                <w:szCs w:val="18"/>
              </w:rPr>
              <w:t xml:space="preserve"> irrespective of jurisdictional responsibilities, hence</w:t>
            </w:r>
            <w:r w:rsidRPr="00A440A8">
              <w:rPr>
                <w:rFonts w:eastAsia="Times New Roman" w:cs="Arial"/>
                <w:color w:val="3F3F3F"/>
                <w:kern w:val="24"/>
                <w:sz w:val="18"/>
                <w:szCs w:val="18"/>
                <w:lang w:val="lv-LV"/>
              </w:rPr>
              <w:t xml:space="preserve"> saving time and resources.</w:t>
            </w:r>
          </w:p>
        </w:tc>
        <w:tc>
          <w:tcPr>
            <w:tcW w:w="2059" w:type="pct"/>
          </w:tcPr>
          <w:p w:rsidRPr="00097749" w:rsidR="00097749" w:rsidP="00097749" w:rsidRDefault="00097749" w14:paraId="47476CCD" w14:textId="77777777">
            <w:pPr>
              <w:widowControl/>
              <w:numPr>
                <w:ilvl w:val="0"/>
                <w:numId w:val="12"/>
              </w:numPr>
              <w:ind w:left="323" w:hanging="323"/>
              <w:contextualSpacing/>
              <w:jc w:val="left"/>
              <w:rPr>
                <w:rFonts w:eastAsia="Times New Roman" w:cs="Arial"/>
                <w:color w:val="3F3F3F"/>
                <w:kern w:val="24"/>
                <w:sz w:val="18"/>
                <w:szCs w:val="18"/>
              </w:rPr>
            </w:pPr>
            <w:r w:rsidRPr="00097749">
              <w:rPr>
                <w:rFonts w:eastAsia="Times New Roman" w:cs="Arial"/>
                <w:color w:val="3F3F3F"/>
                <w:kern w:val="24"/>
                <w:sz w:val="18"/>
                <w:szCs w:val="18"/>
              </w:rPr>
              <w:t>Strategy development for a unified and coherent one-stop-shops system within a country</w:t>
            </w:r>
          </w:p>
          <w:p w:rsidRPr="00E0047A" w:rsidR="00097749" w:rsidP="00097749" w:rsidRDefault="00097749" w14:paraId="41882CD6" w14:textId="1A25C28D">
            <w:pPr>
              <w:widowControl/>
              <w:numPr>
                <w:ilvl w:val="0"/>
                <w:numId w:val="12"/>
              </w:numPr>
              <w:ind w:left="323" w:hanging="323"/>
              <w:contextualSpacing/>
              <w:jc w:val="left"/>
              <w:rPr>
                <w:rFonts w:eastAsia="Times New Roman" w:cs="Arial"/>
                <w:color w:val="3F3F3F"/>
                <w:kern w:val="24"/>
                <w:sz w:val="18"/>
                <w:szCs w:val="18"/>
              </w:rPr>
            </w:pPr>
            <w:r w:rsidRPr="00097749">
              <w:rPr>
                <w:rFonts w:eastAsia="Times New Roman" w:cs="Arial"/>
                <w:color w:val="3F3F3F"/>
                <w:kern w:val="24"/>
                <w:sz w:val="18"/>
                <w:szCs w:val="18"/>
              </w:rPr>
              <w:t>Performance data use to adjust the quality and selection of services provided in one-stop-shops</w:t>
            </w:r>
          </w:p>
        </w:tc>
      </w:tr>
      <w:tr w:rsidRPr="00454399" w:rsidR="00097749" w:rsidTr="00832509" w14:paraId="4B92B020" w14:textId="77777777">
        <w:trPr>
          <w:trHeight w:val="238"/>
        </w:trPr>
        <w:tc>
          <w:tcPr>
            <w:tcW w:w="965" w:type="pct"/>
            <w:vAlign w:val="center"/>
          </w:tcPr>
          <w:p w:rsidR="00097749" w:rsidP="00097749" w:rsidRDefault="00097749" w14:paraId="747DFF27" w14:textId="6EAF3036">
            <w:pPr>
              <w:pStyle w:val="TableRow"/>
              <w:jc w:val="left"/>
              <w:rPr>
                <w:rFonts w:eastAsia="Times New Roman" w:cs="Arial"/>
                <w:b/>
                <w:bCs/>
                <w:color w:val="3F3F3F"/>
                <w:kern w:val="24"/>
                <w:sz w:val="18"/>
                <w:szCs w:val="18"/>
              </w:rPr>
            </w:pPr>
            <w:r>
              <w:rPr>
                <w:rFonts w:eastAsia="Times New Roman" w:cs="Arial"/>
                <w:b/>
                <w:bCs/>
                <w:color w:val="3F3F3F"/>
                <w:kern w:val="24"/>
                <w:sz w:val="18"/>
                <w:szCs w:val="18"/>
              </w:rPr>
              <w:t>P</w:t>
            </w:r>
            <w:r w:rsidRPr="00A440A8">
              <w:rPr>
                <w:rFonts w:eastAsia="Times New Roman" w:cs="Arial"/>
                <w:b/>
                <w:bCs/>
                <w:color w:val="3F3F3F"/>
                <w:kern w:val="24"/>
                <w:sz w:val="18"/>
                <w:szCs w:val="18"/>
              </w:rPr>
              <w:t xml:space="preserve">ublic service improvement bodies </w:t>
            </w:r>
          </w:p>
        </w:tc>
        <w:tc>
          <w:tcPr>
            <w:tcW w:w="1976" w:type="pct"/>
          </w:tcPr>
          <w:p w:rsidRPr="00E0047A" w:rsidR="00097749" w:rsidP="00097749" w:rsidRDefault="00097749" w14:paraId="20B27800" w14:textId="48962D0C">
            <w:pPr>
              <w:pStyle w:val="TableCell"/>
              <w:jc w:val="left"/>
              <w:rPr>
                <w:rFonts w:eastAsia="Times New Roman" w:cs="Arial"/>
                <w:color w:val="3F3F3F"/>
                <w:kern w:val="24"/>
                <w:sz w:val="18"/>
                <w:szCs w:val="18"/>
                <w:lang w:val="lv-LV"/>
              </w:rPr>
            </w:pPr>
            <w:r w:rsidRPr="00A440A8">
              <w:rPr>
                <w:rFonts w:eastAsia="Times New Roman" w:cs="Arial"/>
                <w:color w:val="3F3F3F"/>
                <w:kern w:val="24"/>
                <w:sz w:val="18"/>
                <w:szCs w:val="18"/>
              </w:rPr>
              <w:t xml:space="preserve">Public entities with clear mandate over public services and their improvement are of great use when it comes to aligning services from different provides across government levels. </w:t>
            </w:r>
            <w:r>
              <w:rPr>
                <w:rFonts w:eastAsia="Times New Roman" w:cs="Arial"/>
                <w:color w:val="3F3F3F"/>
                <w:kern w:val="24"/>
                <w:sz w:val="18"/>
                <w:szCs w:val="18"/>
              </w:rPr>
              <w:t xml:space="preserve"> It helps coordinate and promote efforts across the entire </w:t>
            </w:r>
            <w:r w:rsidR="00770EA3">
              <w:rPr>
                <w:rFonts w:eastAsia="Times New Roman" w:cs="Arial"/>
                <w:color w:val="3F3F3F"/>
                <w:kern w:val="24"/>
                <w:sz w:val="18"/>
                <w:szCs w:val="18"/>
              </w:rPr>
              <w:t>administration and</w:t>
            </w:r>
            <w:r>
              <w:rPr>
                <w:rFonts w:eastAsia="Times New Roman" w:cs="Arial"/>
                <w:color w:val="3F3F3F"/>
                <w:kern w:val="24"/>
                <w:sz w:val="18"/>
                <w:szCs w:val="18"/>
              </w:rPr>
              <w:t xml:space="preserve"> align on the newly agreed principles.</w:t>
            </w:r>
          </w:p>
        </w:tc>
        <w:tc>
          <w:tcPr>
            <w:tcW w:w="2059" w:type="pct"/>
          </w:tcPr>
          <w:p w:rsidRPr="00097749" w:rsidR="00097749" w:rsidP="00097749" w:rsidRDefault="00770EA3" w14:paraId="21BDAF25" w14:textId="0A4FEEAC">
            <w:pPr>
              <w:widowControl/>
              <w:numPr>
                <w:ilvl w:val="0"/>
                <w:numId w:val="12"/>
              </w:numPr>
              <w:ind w:left="323" w:hanging="323"/>
              <w:contextualSpacing/>
              <w:jc w:val="left"/>
              <w:rPr>
                <w:rFonts w:eastAsia="Times New Roman" w:cs="Arial"/>
                <w:color w:val="3F3F3F"/>
                <w:kern w:val="24"/>
                <w:sz w:val="18"/>
                <w:szCs w:val="18"/>
              </w:rPr>
            </w:pPr>
            <w:r w:rsidRPr="00A440A8">
              <w:rPr>
                <w:rFonts w:eastAsia="Times New Roman" w:cs="Arial"/>
                <w:color w:val="3F3F3F"/>
                <w:kern w:val="24"/>
                <w:sz w:val="18"/>
                <w:szCs w:val="18"/>
              </w:rPr>
              <w:t>Establishment</w:t>
            </w:r>
            <w:r w:rsidRPr="00A440A8" w:rsidR="00097749">
              <w:rPr>
                <w:rFonts w:eastAsia="Times New Roman" w:cs="Arial"/>
                <w:color w:val="3F3F3F"/>
                <w:kern w:val="24"/>
                <w:sz w:val="18"/>
                <w:szCs w:val="18"/>
              </w:rPr>
              <w:t xml:space="preserve"> of such a body and its responsibilities and scope through strategic documents (e.g., law, decree, public service improvement strategy, or other)</w:t>
            </w:r>
          </w:p>
          <w:p w:rsidRPr="00097749" w:rsidR="00097749" w:rsidP="00097749" w:rsidRDefault="00097749" w14:paraId="79B26326" w14:textId="04F4D7D7">
            <w:pPr>
              <w:widowControl/>
              <w:numPr>
                <w:ilvl w:val="0"/>
                <w:numId w:val="12"/>
              </w:numPr>
              <w:ind w:left="323" w:hanging="323"/>
              <w:contextualSpacing/>
              <w:jc w:val="left"/>
              <w:rPr>
                <w:rFonts w:eastAsia="Times New Roman" w:cs="Arial"/>
                <w:color w:val="3F3F3F"/>
                <w:kern w:val="24"/>
                <w:sz w:val="18"/>
                <w:szCs w:val="18"/>
              </w:rPr>
            </w:pPr>
            <w:r w:rsidRPr="00A440A8">
              <w:rPr>
                <w:rFonts w:eastAsia="Times New Roman" w:cs="Arial"/>
                <w:color w:val="3F3F3F"/>
                <w:kern w:val="24"/>
                <w:sz w:val="18"/>
                <w:szCs w:val="18"/>
              </w:rPr>
              <w:t xml:space="preserve">Creation of ‘champions’ for public services falling under a Life Event across multiple ministries/agencies </w:t>
            </w:r>
          </w:p>
        </w:tc>
      </w:tr>
      <w:tr w:rsidRPr="00454399" w:rsidR="00097749" w:rsidTr="00832509" w14:paraId="11CA78DF" w14:textId="77777777">
        <w:trPr>
          <w:trHeight w:val="238"/>
        </w:trPr>
        <w:tc>
          <w:tcPr>
            <w:tcW w:w="965" w:type="pct"/>
          </w:tcPr>
          <w:p w:rsidR="00097749" w:rsidP="00097749" w:rsidRDefault="00097749" w14:paraId="63CDAF0B" w14:textId="7DBE57C7">
            <w:pPr>
              <w:pStyle w:val="TableRow"/>
              <w:rPr>
                <w:rFonts w:eastAsia="Times New Roman" w:cs="Arial"/>
                <w:b/>
                <w:bCs/>
                <w:color w:val="3F3F3F"/>
                <w:kern w:val="24"/>
                <w:sz w:val="18"/>
                <w:szCs w:val="18"/>
              </w:rPr>
            </w:pPr>
            <w:r>
              <w:rPr>
                <w:rFonts w:eastAsia="Times New Roman" w:cs="Arial"/>
                <w:b/>
                <w:bCs/>
                <w:color w:val="3F3F3F"/>
                <w:kern w:val="24"/>
                <w:sz w:val="18"/>
                <w:szCs w:val="18"/>
                <w:lang w:val="fr-FR"/>
              </w:rPr>
              <w:t>I</w:t>
            </w:r>
            <w:r w:rsidRPr="00A440A8">
              <w:rPr>
                <w:rFonts w:eastAsia="Times New Roman" w:cs="Arial"/>
                <w:b/>
                <w:bCs/>
                <w:color w:val="3F3F3F"/>
                <w:kern w:val="24"/>
                <w:sz w:val="18"/>
                <w:szCs w:val="18"/>
                <w:lang w:val="fr-FR"/>
              </w:rPr>
              <w:t xml:space="preserve">nteroperability frameworks </w:t>
            </w:r>
          </w:p>
        </w:tc>
        <w:tc>
          <w:tcPr>
            <w:tcW w:w="1976" w:type="pct"/>
          </w:tcPr>
          <w:p w:rsidRPr="00A440A8" w:rsidR="00097749" w:rsidP="00097749" w:rsidRDefault="00097749" w14:paraId="64C13261" w14:textId="0A3A7943">
            <w:pPr>
              <w:pStyle w:val="TableCell"/>
              <w:jc w:val="left"/>
              <w:rPr>
                <w:rFonts w:eastAsia="Times New Roman" w:cs="Arial"/>
                <w:color w:val="3F3F3F"/>
                <w:kern w:val="24"/>
                <w:sz w:val="18"/>
                <w:szCs w:val="18"/>
              </w:rPr>
            </w:pPr>
            <w:r w:rsidRPr="00A440A8">
              <w:rPr>
                <w:rFonts w:eastAsia="Times New Roman" w:cs="Arial"/>
                <w:color w:val="3F3F3F"/>
                <w:kern w:val="24"/>
                <w:sz w:val="18"/>
                <w:szCs w:val="18"/>
              </w:rPr>
              <w:t>Interoperability frameworks in service delivery foster data exchange that is both efficient for different service providers and seamless for users.</w:t>
            </w:r>
          </w:p>
        </w:tc>
        <w:tc>
          <w:tcPr>
            <w:tcW w:w="2059" w:type="pct"/>
          </w:tcPr>
          <w:p w:rsidRPr="00097749" w:rsidR="00097749" w:rsidP="00097749" w:rsidRDefault="00097749" w14:paraId="004ABE82" w14:textId="77777777">
            <w:pPr>
              <w:widowControl/>
              <w:numPr>
                <w:ilvl w:val="0"/>
                <w:numId w:val="12"/>
              </w:numPr>
              <w:ind w:left="323" w:hanging="323"/>
              <w:contextualSpacing/>
              <w:jc w:val="left"/>
              <w:rPr>
                <w:rFonts w:eastAsia="Times New Roman" w:cs="Arial"/>
                <w:color w:val="3F3F3F"/>
                <w:kern w:val="24"/>
                <w:sz w:val="18"/>
                <w:szCs w:val="18"/>
              </w:rPr>
            </w:pPr>
            <w:r w:rsidRPr="00A440A8">
              <w:rPr>
                <w:rFonts w:eastAsia="Times New Roman" w:cs="Arial"/>
                <w:color w:val="3F3F3F"/>
                <w:kern w:val="24"/>
                <w:sz w:val="18"/>
                <w:szCs w:val="18"/>
              </w:rPr>
              <w:t xml:space="preserve">Definition of institutional responsibilities over interoperability frameworks </w:t>
            </w:r>
          </w:p>
          <w:p w:rsidRPr="00097749" w:rsidR="00097749" w:rsidP="00097749" w:rsidRDefault="00097749" w14:paraId="4E7B396C" w14:textId="77777777">
            <w:pPr>
              <w:widowControl/>
              <w:numPr>
                <w:ilvl w:val="0"/>
                <w:numId w:val="12"/>
              </w:numPr>
              <w:ind w:left="323" w:hanging="323"/>
              <w:contextualSpacing/>
              <w:jc w:val="left"/>
              <w:rPr>
                <w:rFonts w:eastAsia="Times New Roman" w:cs="Arial"/>
                <w:color w:val="3F3F3F"/>
                <w:kern w:val="24"/>
                <w:sz w:val="18"/>
                <w:szCs w:val="18"/>
              </w:rPr>
            </w:pPr>
            <w:r w:rsidRPr="00A440A8">
              <w:rPr>
                <w:rFonts w:eastAsia="Times New Roman" w:cs="Arial"/>
                <w:color w:val="3F3F3F"/>
                <w:kern w:val="24"/>
                <w:sz w:val="18"/>
                <w:szCs w:val="18"/>
              </w:rPr>
              <w:t>Formalisation of data sharing agreements with clear conditions and responsibilities across service providers</w:t>
            </w:r>
          </w:p>
          <w:p w:rsidRPr="00A440A8" w:rsidR="00097749" w:rsidP="00097749" w:rsidRDefault="00097749" w14:paraId="62B696F7" w14:textId="6856C6EA">
            <w:pPr>
              <w:widowControl/>
              <w:numPr>
                <w:ilvl w:val="0"/>
                <w:numId w:val="12"/>
              </w:numPr>
              <w:ind w:left="323" w:hanging="323"/>
              <w:contextualSpacing/>
              <w:jc w:val="left"/>
              <w:rPr>
                <w:rFonts w:eastAsia="Times New Roman" w:cs="Arial"/>
                <w:color w:val="3F3F3F"/>
                <w:kern w:val="24"/>
                <w:sz w:val="18"/>
                <w:szCs w:val="18"/>
              </w:rPr>
            </w:pPr>
            <w:r w:rsidRPr="00A440A8">
              <w:rPr>
                <w:rFonts w:eastAsia="Times New Roman" w:cs="Arial"/>
                <w:color w:val="3F3F3F"/>
                <w:kern w:val="24"/>
                <w:sz w:val="18"/>
                <w:szCs w:val="18"/>
              </w:rPr>
              <w:t>Reinforcement of data standards</w:t>
            </w:r>
          </w:p>
        </w:tc>
      </w:tr>
      <w:tr w:rsidRPr="00454399" w:rsidR="00097749" w:rsidTr="00832509" w14:paraId="11BCDB52" w14:textId="77777777">
        <w:trPr>
          <w:trHeight w:val="238"/>
        </w:trPr>
        <w:tc>
          <w:tcPr>
            <w:tcW w:w="965" w:type="pct"/>
            <w:vAlign w:val="center"/>
          </w:tcPr>
          <w:p w:rsidR="00097749" w:rsidP="00097749" w:rsidRDefault="00097749" w14:paraId="1C49C02C" w14:textId="6884916E">
            <w:pPr>
              <w:pStyle w:val="TableRow"/>
              <w:rPr>
                <w:rFonts w:eastAsia="Times New Roman" w:cs="Arial"/>
                <w:b/>
                <w:bCs/>
                <w:color w:val="3F3F3F"/>
                <w:kern w:val="24"/>
                <w:sz w:val="18"/>
                <w:szCs w:val="18"/>
              </w:rPr>
            </w:pPr>
            <w:r w:rsidRPr="00157830">
              <w:rPr>
                <w:rFonts w:eastAsia="Times New Roman" w:cs="Arial"/>
                <w:b/>
                <w:bCs/>
                <w:color w:val="3F3F3F"/>
                <w:kern w:val="24"/>
                <w:sz w:val="18"/>
                <w:szCs w:val="18"/>
              </w:rPr>
              <w:t>Once-only principle programme</w:t>
            </w:r>
          </w:p>
        </w:tc>
        <w:tc>
          <w:tcPr>
            <w:tcW w:w="1976" w:type="pct"/>
          </w:tcPr>
          <w:p w:rsidRPr="00A440A8" w:rsidR="00097749" w:rsidP="00097749" w:rsidRDefault="00097749" w14:paraId="545E2396" w14:textId="40CC0B7E">
            <w:pPr>
              <w:pStyle w:val="TableCell"/>
              <w:jc w:val="left"/>
              <w:rPr>
                <w:rFonts w:eastAsia="Times New Roman" w:cs="Arial"/>
                <w:color w:val="3F3F3F"/>
                <w:kern w:val="24"/>
                <w:sz w:val="18"/>
                <w:szCs w:val="18"/>
              </w:rPr>
            </w:pPr>
            <w:r w:rsidRPr="00157830">
              <w:rPr>
                <w:rFonts w:eastAsia="Times New Roman" w:cs="Arial"/>
                <w:color w:val="3F3F3F"/>
                <w:kern w:val="24"/>
                <w:sz w:val="18"/>
                <w:szCs w:val="18"/>
              </w:rPr>
              <w:t>Establishing a once-only principle programme in the entity in charge of public service improvements can help develop the approach and test it in several services, before disseminating it.</w:t>
            </w:r>
          </w:p>
        </w:tc>
        <w:tc>
          <w:tcPr>
            <w:tcW w:w="2059" w:type="pct"/>
          </w:tcPr>
          <w:p w:rsidRPr="00157830" w:rsidR="00097749" w:rsidP="00097749" w:rsidRDefault="00097749" w14:paraId="6EE1B524" w14:textId="77777777">
            <w:pPr>
              <w:widowControl/>
              <w:numPr>
                <w:ilvl w:val="0"/>
                <w:numId w:val="12"/>
              </w:numPr>
              <w:ind w:left="323" w:hanging="323"/>
              <w:contextualSpacing/>
              <w:jc w:val="left"/>
              <w:rPr>
                <w:rFonts w:eastAsia="Times New Roman" w:cs="Arial"/>
                <w:color w:val="3F3F3F"/>
                <w:kern w:val="24"/>
                <w:sz w:val="18"/>
                <w:szCs w:val="18"/>
              </w:rPr>
            </w:pPr>
            <w:r w:rsidRPr="00157830">
              <w:rPr>
                <w:rFonts w:eastAsia="Times New Roman" w:cs="Arial"/>
                <w:color w:val="3F3F3F"/>
                <w:kern w:val="24"/>
                <w:sz w:val="18"/>
                <w:szCs w:val="18"/>
              </w:rPr>
              <w:t>Build a horizontal capacity in the administration to define and supervise the deployment of the once only principle across the administration</w:t>
            </w:r>
          </w:p>
          <w:p w:rsidRPr="00157830" w:rsidR="00097749" w:rsidP="00097749" w:rsidRDefault="00097749" w14:paraId="63EF1425" w14:textId="20401612">
            <w:pPr>
              <w:widowControl/>
              <w:numPr>
                <w:ilvl w:val="0"/>
                <w:numId w:val="12"/>
              </w:numPr>
              <w:ind w:left="323" w:hanging="323"/>
              <w:contextualSpacing/>
              <w:jc w:val="left"/>
              <w:rPr>
                <w:rFonts w:eastAsia="Times New Roman" w:cs="Arial"/>
                <w:color w:val="3F3F3F"/>
                <w:kern w:val="24"/>
                <w:sz w:val="18"/>
                <w:szCs w:val="18"/>
              </w:rPr>
            </w:pPr>
            <w:r w:rsidRPr="00157830">
              <w:rPr>
                <w:rFonts w:eastAsia="Times New Roman" w:cs="Arial"/>
                <w:color w:val="3F3F3F"/>
                <w:kern w:val="24"/>
                <w:sz w:val="18"/>
                <w:szCs w:val="18"/>
              </w:rPr>
              <w:t xml:space="preserve">Identify through user </w:t>
            </w:r>
            <w:r w:rsidRPr="00157830" w:rsidR="007A22EF">
              <w:rPr>
                <w:rFonts w:eastAsia="Times New Roman" w:cs="Arial"/>
                <w:color w:val="3F3F3F"/>
                <w:kern w:val="24"/>
                <w:sz w:val="18"/>
                <w:szCs w:val="18"/>
              </w:rPr>
              <w:t>feedback</w:t>
            </w:r>
            <w:r w:rsidRPr="00157830">
              <w:rPr>
                <w:rFonts w:eastAsia="Times New Roman" w:cs="Arial"/>
                <w:color w:val="3F3F3F"/>
                <w:kern w:val="24"/>
                <w:sz w:val="18"/>
                <w:szCs w:val="18"/>
              </w:rPr>
              <w:t xml:space="preserve"> which programmes require the most data requests</w:t>
            </w:r>
          </w:p>
          <w:p w:rsidRPr="00157830" w:rsidR="00097749" w:rsidP="00097749" w:rsidRDefault="00097749" w14:paraId="65E4C933" w14:textId="77777777">
            <w:pPr>
              <w:widowControl/>
              <w:numPr>
                <w:ilvl w:val="0"/>
                <w:numId w:val="12"/>
              </w:numPr>
              <w:ind w:left="323" w:hanging="323"/>
              <w:contextualSpacing/>
              <w:jc w:val="left"/>
              <w:rPr>
                <w:rFonts w:eastAsia="Times New Roman" w:cs="Arial"/>
                <w:color w:val="3F3F3F"/>
                <w:kern w:val="24"/>
                <w:sz w:val="18"/>
                <w:szCs w:val="18"/>
              </w:rPr>
            </w:pPr>
            <w:r w:rsidRPr="00157830">
              <w:rPr>
                <w:rFonts w:eastAsia="Times New Roman" w:cs="Arial"/>
                <w:color w:val="3F3F3F"/>
                <w:kern w:val="24"/>
                <w:sz w:val="18"/>
                <w:szCs w:val="18"/>
              </w:rPr>
              <w:t>Select procedures/life events as pilots.</w:t>
            </w:r>
          </w:p>
          <w:p w:rsidRPr="00157830" w:rsidR="00097749" w:rsidP="00097749" w:rsidRDefault="00097749" w14:paraId="150789BD" w14:textId="77777777">
            <w:pPr>
              <w:widowControl/>
              <w:numPr>
                <w:ilvl w:val="0"/>
                <w:numId w:val="12"/>
              </w:numPr>
              <w:ind w:left="323" w:hanging="323"/>
              <w:contextualSpacing/>
              <w:jc w:val="left"/>
              <w:rPr>
                <w:rFonts w:eastAsia="Times New Roman" w:cs="Arial"/>
                <w:color w:val="3F3F3F"/>
                <w:kern w:val="24"/>
                <w:sz w:val="18"/>
                <w:szCs w:val="18"/>
              </w:rPr>
            </w:pPr>
            <w:r w:rsidRPr="00157830">
              <w:rPr>
                <w:rFonts w:eastAsia="Times New Roman" w:cs="Arial"/>
                <w:color w:val="3F3F3F"/>
                <w:kern w:val="24"/>
                <w:sz w:val="18"/>
                <w:szCs w:val="18"/>
              </w:rPr>
              <w:t>Deploy the programme and principle across all services.</w:t>
            </w:r>
          </w:p>
          <w:p w:rsidRPr="00A440A8" w:rsidR="00097749" w:rsidP="00097749" w:rsidRDefault="00097749" w14:paraId="3A8815E6" w14:textId="4A048953">
            <w:pPr>
              <w:widowControl/>
              <w:numPr>
                <w:ilvl w:val="0"/>
                <w:numId w:val="12"/>
              </w:numPr>
              <w:ind w:left="323" w:hanging="323"/>
              <w:contextualSpacing/>
              <w:jc w:val="left"/>
              <w:rPr>
                <w:rFonts w:eastAsia="Times New Roman" w:cs="Arial"/>
                <w:color w:val="3F3F3F"/>
                <w:kern w:val="24"/>
                <w:sz w:val="18"/>
                <w:szCs w:val="18"/>
              </w:rPr>
            </w:pPr>
            <w:r w:rsidRPr="00157830">
              <w:rPr>
                <w:rFonts w:eastAsia="Times New Roman" w:cs="Arial"/>
                <w:color w:val="3F3F3F"/>
                <w:kern w:val="24"/>
                <w:sz w:val="18"/>
                <w:szCs w:val="18"/>
              </w:rPr>
              <w:t xml:space="preserve">Work on data exchange and interoperability to minimize new data requests from the </w:t>
            </w:r>
            <w:r w:rsidRPr="00157830" w:rsidR="007A22EF">
              <w:rPr>
                <w:rFonts w:eastAsia="Times New Roman" w:cs="Arial"/>
                <w:color w:val="3F3F3F"/>
                <w:kern w:val="24"/>
                <w:sz w:val="18"/>
                <w:szCs w:val="18"/>
              </w:rPr>
              <w:t>administration;</w:t>
            </w:r>
            <w:r w:rsidRPr="00157830">
              <w:rPr>
                <w:rFonts w:eastAsia="Times New Roman" w:cs="Arial"/>
                <w:color w:val="3F3F3F"/>
                <w:kern w:val="24"/>
                <w:sz w:val="18"/>
                <w:szCs w:val="18"/>
              </w:rPr>
              <w:t xml:space="preserve"> reassess when the data is absolutely needed.</w:t>
            </w:r>
          </w:p>
        </w:tc>
      </w:tr>
    </w:tbl>
    <w:p w:rsidRPr="00454399" w:rsidR="00097749" w:rsidP="00097749" w:rsidRDefault="00097749" w14:paraId="557B9743" w14:textId="6F0F7D4E">
      <w:pPr>
        <w:pStyle w:val="Sourcenotes"/>
      </w:pPr>
      <w:r>
        <w:t>Source: Author illustration</w:t>
      </w:r>
      <w:r w:rsidR="00AE1BB8">
        <w:t>.</w:t>
      </w:r>
      <w:r>
        <w:t xml:space="preserve"> </w:t>
      </w:r>
    </w:p>
    <w:p w:rsidR="00097749" w:rsidP="00FF24C8" w:rsidRDefault="00097749" w14:paraId="3B65B7AC" w14:textId="77777777">
      <w:pPr>
        <w:pStyle w:val="Para0"/>
      </w:pPr>
    </w:p>
    <w:p w:rsidR="00097749" w:rsidP="00FF24C8" w:rsidRDefault="00097749" w14:paraId="13A8D760" w14:textId="77777777">
      <w:pPr>
        <w:pStyle w:val="Para0"/>
      </w:pPr>
    </w:p>
    <w:p w:rsidR="00097749" w:rsidP="00FF24C8" w:rsidRDefault="00097749" w14:paraId="7BDC94B2" w14:textId="77777777">
      <w:pPr>
        <w:pStyle w:val="Para0"/>
      </w:pPr>
    </w:p>
    <w:p w:rsidRPr="00FF24C8" w:rsidR="00097749" w:rsidP="00FF24C8" w:rsidRDefault="00097749" w14:paraId="787729B5" w14:textId="77777777">
      <w:pPr>
        <w:pStyle w:val="Para0"/>
      </w:pPr>
    </w:p>
    <w:p w:rsidR="008673BE" w:rsidP="00687437" w:rsidRDefault="00144972" w14:paraId="071471A1" w14:textId="04EA4399">
      <w:pPr>
        <w:pStyle w:val="Heading1"/>
        <w:framePr w:wrap="notBeside"/>
      </w:pPr>
      <w:bookmarkStart w:name="_Toc223413737" w:id="125"/>
      <w:r>
        <w:t>Achieving results</w:t>
      </w:r>
      <w:bookmarkEnd w:id="125"/>
    </w:p>
    <w:p w:rsidR="00D02270" w:rsidP="00D02270" w:rsidRDefault="00D02270" w14:paraId="7127EFBD" w14:textId="77777777">
      <w:pPr>
        <w:pStyle w:val="Para"/>
        <w:numPr>
          <w:ilvl w:val="0"/>
          <w:numId w:val="0"/>
        </w:numPr>
      </w:pPr>
      <w:r w:rsidRPr="00832509">
        <w:rPr>
          <w:b/>
          <w:bCs/>
        </w:rPr>
        <w:t>The final stage of the user journey is achieving the desired results.</w:t>
      </w:r>
      <w:r>
        <w:t xml:space="preserve"> This means users have already accessed and navigated public services and their journey has led them to obtain what they were seeking. The conducted TSI Satisfaction Survey has clearly shown that user satisfaction increases when users achieve their desired outcomes in a (i) </w:t>
      </w:r>
      <w:r w:rsidRPr="0019770A">
        <w:rPr>
          <w:b/>
          <w:bCs/>
        </w:rPr>
        <w:t>simple</w:t>
      </w:r>
      <w:r>
        <w:t xml:space="preserve">, (ii) </w:t>
      </w:r>
      <w:r w:rsidRPr="0019770A">
        <w:rPr>
          <w:b/>
          <w:bCs/>
        </w:rPr>
        <w:t>fast</w:t>
      </w:r>
      <w:r>
        <w:t xml:space="preserve"> and (iii) </w:t>
      </w:r>
      <w:r w:rsidRPr="0019770A">
        <w:rPr>
          <w:b/>
          <w:bCs/>
        </w:rPr>
        <w:t>fair</w:t>
      </w:r>
      <w:r>
        <w:t xml:space="preserve"> manner. This part of the Guidance note focuses on these three elements of the last user journey stage.</w:t>
      </w:r>
    </w:p>
    <w:p w:rsidR="00144972" w:rsidP="00144972" w:rsidRDefault="0019621A" w14:paraId="08B89999" w14:textId="00091D00">
      <w:pPr>
        <w:pStyle w:val="Heading2"/>
        <w:rPr>
          <w:bCs/>
          <w:lang w:val="en-US"/>
        </w:rPr>
      </w:pPr>
      <w:bookmarkStart w:name="_Toc223413738" w:id="126"/>
      <w:r>
        <w:rPr>
          <w:bCs/>
          <w:lang w:val="en-US"/>
        </w:rPr>
        <w:t xml:space="preserve">Simple </w:t>
      </w:r>
      <w:r w:rsidR="009A433C">
        <w:rPr>
          <w:bCs/>
          <w:lang w:val="en-US"/>
        </w:rPr>
        <w:t>s</w:t>
      </w:r>
      <w:r>
        <w:rPr>
          <w:bCs/>
          <w:lang w:val="en-US"/>
        </w:rPr>
        <w:t>ervices</w:t>
      </w:r>
      <w:bookmarkEnd w:id="126"/>
      <w:r>
        <w:rPr>
          <w:bCs/>
          <w:lang w:val="en-US"/>
        </w:rPr>
        <w:t xml:space="preserve"> </w:t>
      </w:r>
    </w:p>
    <w:p w:rsidRPr="0066633A" w:rsidR="0066633A" w:rsidP="00EF5C0C" w:rsidRDefault="0066633A" w14:paraId="4C71F0F3" w14:textId="7A875A6A">
      <w:pPr>
        <w:pStyle w:val="Para"/>
        <w:numPr>
          <w:ilvl w:val="0"/>
          <w:numId w:val="0"/>
        </w:numPr>
        <w:rPr>
          <w:lang w:val="en-US"/>
        </w:rPr>
      </w:pPr>
      <w:r w:rsidRPr="00832509">
        <w:rPr>
          <w:b/>
          <w:bCs/>
          <w:lang w:val="en-US"/>
        </w:rPr>
        <w:t>Achieving results in a simple manner refers to how easy it is to obtain a service.</w:t>
      </w:r>
      <w:r>
        <w:rPr>
          <w:lang w:val="en-US"/>
        </w:rPr>
        <w:t xml:space="preserve"> Some services require longer and more complex procedures before users reach their desired result while other</w:t>
      </w:r>
      <w:r w:rsidR="000615B6">
        <w:rPr>
          <w:lang w:val="en-US"/>
        </w:rPr>
        <w:t>s</w:t>
      </w:r>
      <w:r>
        <w:rPr>
          <w:lang w:val="en-US"/>
        </w:rPr>
        <w:t xml:space="preserve"> involve simpler and more straightforward steps user</w:t>
      </w:r>
      <w:r w:rsidR="000615B6">
        <w:rPr>
          <w:lang w:val="en-US"/>
        </w:rPr>
        <w:t>s</w:t>
      </w:r>
      <w:r>
        <w:rPr>
          <w:lang w:val="en-US"/>
        </w:rPr>
        <w:t xml:space="preserve"> can follow to obtain what they need. It should also be acknowledged that some </w:t>
      </w:r>
      <w:r w:rsidR="00EF5C0C">
        <w:rPr>
          <w:lang w:val="en-US"/>
        </w:rPr>
        <w:t>Life Events</w:t>
      </w:r>
      <w:r>
        <w:rPr>
          <w:lang w:val="en-US"/>
        </w:rPr>
        <w:t xml:space="preserve"> are more complex by nature as they involve multiple players and procedures, for instance </w:t>
      </w:r>
      <w:r w:rsidR="000615B6">
        <w:rPr>
          <w:lang w:val="en-US"/>
        </w:rPr>
        <w:t>‘</w:t>
      </w:r>
      <w:r>
        <w:rPr>
          <w:lang w:val="en-US"/>
        </w:rPr>
        <w:t xml:space="preserve">losing a </w:t>
      </w:r>
      <w:r w:rsidR="00EF5C0C">
        <w:rPr>
          <w:lang w:val="en-US"/>
        </w:rPr>
        <w:t>loved</w:t>
      </w:r>
      <w:r>
        <w:rPr>
          <w:lang w:val="en-US"/>
        </w:rPr>
        <w:t xml:space="preserve"> one</w:t>
      </w:r>
      <w:r w:rsidR="000615B6">
        <w:rPr>
          <w:lang w:val="en-US"/>
        </w:rPr>
        <w:t>’</w:t>
      </w:r>
      <w:r>
        <w:rPr>
          <w:lang w:val="en-US"/>
        </w:rPr>
        <w:t xml:space="preserve"> as it requires interactions with services providing identity, social security, tax and other services.</w:t>
      </w:r>
      <w:r w:rsidR="00EF5C0C">
        <w:rPr>
          <w:lang w:val="en-US"/>
        </w:rPr>
        <w:t xml:space="preserve"> </w:t>
      </w:r>
    </w:p>
    <w:tbl>
      <w:tblPr>
        <w:tblStyle w:val="OECD"/>
        <w:tblW w:w="0" w:type="auto"/>
        <w:tblLook w:val="04A0" w:firstRow="1" w:lastRow="0" w:firstColumn="1" w:lastColumn="0" w:noHBand="0" w:noVBand="1"/>
      </w:tblPr>
      <w:tblGrid>
        <w:gridCol w:w="9298"/>
      </w:tblGrid>
      <w:tr w:rsidR="00117BE6" w14:paraId="15B634D9" w14:textId="77777777">
        <w:tc>
          <w:tcPr>
            <w:tcW w:w="9298" w:type="dxa"/>
            <w:shd w:val="clear" w:color="auto" w:fill="244061" w:themeFill="accent1" w:themeFillShade="80"/>
          </w:tcPr>
          <w:p w:rsidRPr="00703A21" w:rsidR="00117BE6" w:rsidRDefault="00117BE6" w14:paraId="647CB051" w14:textId="77777777">
            <w:pPr>
              <w:pStyle w:val="Para0"/>
              <w:jc w:val="center"/>
              <w:rPr>
                <w:b/>
                <w:bCs/>
                <w:color w:val="FFFFFF" w:themeColor="background1"/>
                <w:sz w:val="24"/>
                <w:szCs w:val="24"/>
              </w:rPr>
            </w:pPr>
            <w:r w:rsidRPr="00703A21">
              <w:rPr>
                <w:b/>
                <w:bCs/>
                <w:noProof/>
                <w:color w:val="FFFFFF" w:themeColor="background1"/>
                <w:sz w:val="24"/>
                <w:szCs w:val="24"/>
              </w:rPr>
              <w:drawing>
                <wp:anchor distT="0" distB="0" distL="114300" distR="114300" simplePos="0" relativeHeight="251658249" behindDoc="1" locked="0" layoutInCell="1" allowOverlap="1" wp14:anchorId="0A161E69" wp14:editId="574D443B">
                  <wp:simplePos x="0" y="0"/>
                  <wp:positionH relativeFrom="column">
                    <wp:posOffset>4919980</wp:posOffset>
                  </wp:positionH>
                  <wp:positionV relativeFrom="paragraph">
                    <wp:posOffset>22225</wp:posOffset>
                  </wp:positionV>
                  <wp:extent cx="914400" cy="914400"/>
                  <wp:effectExtent l="0" t="0" r="0" b="0"/>
                  <wp:wrapTight wrapText="bothSides">
                    <wp:wrapPolygon edited="0">
                      <wp:start x="2700" y="450"/>
                      <wp:lineTo x="2700" y="20700"/>
                      <wp:lineTo x="18450" y="20700"/>
                      <wp:lineTo x="18450" y="450"/>
                      <wp:lineTo x="2700" y="450"/>
                    </wp:wrapPolygon>
                  </wp:wrapTight>
                  <wp:docPr id="198111221" name="Graphic 9" descr="Checklist with solid fill">
                    <a:extLst xmlns:a="http://schemas.openxmlformats.org/drawingml/2006/main">
                      <a:ext uri="{FF2B5EF4-FFF2-40B4-BE49-F238E27FC236}">
                        <a16:creationId xmlns:a16="http://schemas.microsoft.com/office/drawing/2014/main" id="{B7C8702F-2BF8-C298-122E-A6D0E747D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1221" name="Graphic 9" descr="Checklist with solid fill">
                            <a:extLst>
                              <a:ext uri="{FF2B5EF4-FFF2-40B4-BE49-F238E27FC236}">
                                <a16:creationId xmlns:a16="http://schemas.microsoft.com/office/drawing/2014/main" id="{B7C8702F-2BF8-C298-122E-A6D0E747D968}"/>
                              </a:ext>
                            </a:extLst>
                          </pic:cNvPr>
                          <pic:cNvPicPr>
                            <a:picLocks noChangeAspect="1"/>
                          </pic:cNvPicPr>
                        </pic:nvPicPr>
                        <pic:blipFill>
                          <a:blip r:embed="rId77">
                            <a:extLst>
                              <a:ext uri="{96DAC541-7B7A-43D3-8B79-37D633B846F1}">
                                <asvg:svgBlip xmlns:asvg="http://schemas.microsoft.com/office/drawing/2016/SVG/main" r:embed="rId78"/>
                              </a:ext>
                            </a:extLst>
                          </a:blip>
                          <a:stretch>
                            <a:fillRect/>
                          </a:stretch>
                        </pic:blipFill>
                        <pic:spPr>
                          <a:xfrm>
                            <a:off x="0" y="0"/>
                            <a:ext cx="914400" cy="914400"/>
                          </a:xfrm>
                          <a:prstGeom prst="rect">
                            <a:avLst/>
                          </a:prstGeom>
                        </pic:spPr>
                      </pic:pic>
                    </a:graphicData>
                  </a:graphic>
                </wp:anchor>
              </w:drawing>
            </w:r>
            <w:r w:rsidRPr="00703A21">
              <w:rPr>
                <w:b/>
                <w:bCs/>
                <w:color w:val="FFFFFF" w:themeColor="background1"/>
                <w:sz w:val="24"/>
                <w:szCs w:val="24"/>
              </w:rPr>
              <w:t xml:space="preserve">Spotlight on results from the TSI Satisfaction Survey </w:t>
            </w:r>
          </w:p>
          <w:p w:rsidRPr="00703A21" w:rsidR="00117BE6" w:rsidRDefault="00117BE6" w14:paraId="1E851295" w14:textId="7FE4F7FB">
            <w:pPr>
              <w:pStyle w:val="Para0"/>
              <w:jc w:val="center"/>
              <w:rPr>
                <w:b/>
                <w:bCs/>
                <w:color w:val="FFFFFF" w:themeColor="background1"/>
                <w:sz w:val="24"/>
                <w:szCs w:val="24"/>
              </w:rPr>
            </w:pPr>
            <w:r>
              <w:rPr>
                <w:b/>
                <w:bCs/>
                <w:color w:val="FFFFFF" w:themeColor="background1"/>
                <w:sz w:val="24"/>
                <w:szCs w:val="24"/>
              </w:rPr>
              <w:t xml:space="preserve">Simple Services </w:t>
            </w:r>
          </w:p>
          <w:p w:rsidRPr="008B285F" w:rsidR="001C70FE" w:rsidP="001C70FE" w:rsidRDefault="00117BE6" w14:paraId="72269AF8" w14:textId="52050AF4">
            <w:pPr>
              <w:pStyle w:val="Para0"/>
              <w:numPr>
                <w:ilvl w:val="0"/>
                <w:numId w:val="27"/>
              </w:numPr>
              <w:rPr>
                <w:color w:val="FFFFFF" w:themeColor="background1"/>
                <w:lang w:val="en-GB"/>
              </w:rPr>
            </w:pPr>
            <w:r w:rsidRPr="000615B6">
              <w:rPr>
                <w:b/>
                <w:bCs/>
                <w:color w:val="FFFFFF" w:themeColor="background1"/>
              </w:rPr>
              <w:t>7</w:t>
            </w:r>
            <w:r w:rsidRPr="000615B6" w:rsidR="001C70FE">
              <w:rPr>
                <w:b/>
                <w:bCs/>
                <w:color w:val="FFFFFF" w:themeColor="background1"/>
              </w:rPr>
              <w:t>1</w:t>
            </w:r>
            <w:r w:rsidRPr="000615B6">
              <w:rPr>
                <w:b/>
                <w:bCs/>
                <w:color w:val="FFFFFF" w:themeColor="background1"/>
              </w:rPr>
              <w:t xml:space="preserve">% </w:t>
            </w:r>
            <w:r w:rsidRPr="00832509">
              <w:rPr>
                <w:b/>
                <w:bCs/>
                <w:color w:val="FFFFFF" w:themeColor="background1"/>
              </w:rPr>
              <w:t xml:space="preserve">of users in the EU-10 reported satisfaction with </w:t>
            </w:r>
            <w:r w:rsidRPr="00832509" w:rsidR="001C70FE">
              <w:rPr>
                <w:b/>
                <w:bCs/>
                <w:color w:val="FFFFFF" w:themeColor="background1"/>
              </w:rPr>
              <w:t>the ease of obtaining the service</w:t>
            </w:r>
            <w:r>
              <w:rPr>
                <w:color w:val="FFFFFF" w:themeColor="background1"/>
              </w:rPr>
              <w:t>.</w:t>
            </w:r>
            <w:r w:rsidR="00C723FB">
              <w:rPr>
                <w:color w:val="FFFFFF" w:themeColor="background1"/>
              </w:rPr>
              <w:t xml:space="preserve"> </w:t>
            </w:r>
            <w:r w:rsidR="00DA4AD1">
              <w:rPr>
                <w:color w:val="FFFFFF" w:themeColor="background1"/>
              </w:rPr>
              <w:t xml:space="preserve">Life Events that are more ‘common’ for users have a higher level of satisfaction. For example, users who experienced the Life Event ‘I got or renewed an official ID’ reported 79% satisfaction in relation to the ease of obtaining the service across the EU-10. </w:t>
            </w:r>
            <w:r w:rsidR="00197316">
              <w:rPr>
                <w:color w:val="FFFFFF" w:themeColor="background1"/>
              </w:rPr>
              <w:t xml:space="preserve">78% of users who got or renewed a vehicle and 75% of users who bought or replaced a vehicle were satisfied with the ease of obtaining the service. However, </w:t>
            </w:r>
            <w:r w:rsidR="00EB563B">
              <w:rPr>
                <w:color w:val="FFFFFF" w:themeColor="background1"/>
              </w:rPr>
              <w:t xml:space="preserve">an almost ten percentage point difference can be observed in satisfaction in relation to the Life Event ‘I lost/looked for a job’, with 62% of users satisfied with the ease of obtaining the service. </w:t>
            </w:r>
          </w:p>
          <w:p w:rsidRPr="001C70FE" w:rsidR="008B285F" w:rsidP="00B133D2" w:rsidRDefault="00B133D2" w14:paraId="5D5423B5" w14:textId="750E8235">
            <w:pPr>
              <w:pStyle w:val="Para0"/>
              <w:ind w:left="360"/>
              <w:jc w:val="center"/>
              <w:rPr>
                <w:color w:val="FFFFFF" w:themeColor="background1"/>
                <w:lang w:val="en-GB"/>
              </w:rPr>
            </w:pPr>
            <w:r>
              <w:rPr>
                <w:noProof/>
                <w:color w:val="FFFFFF" w:themeColor="background1"/>
              </w:rPr>
              <w:drawing>
                <wp:inline distT="0" distB="0" distL="0" distR="0" wp14:anchorId="3BA44A86" wp14:editId="7306DD88">
                  <wp:extent cx="5580380" cy="4165600"/>
                  <wp:effectExtent l="0" t="0" r="0" b="6350"/>
                  <wp:docPr id="7477936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b="7890"/>
                          <a:stretch>
                            <a:fillRect/>
                          </a:stretch>
                        </pic:blipFill>
                        <pic:spPr bwMode="auto">
                          <a:xfrm>
                            <a:off x="0" y="0"/>
                            <a:ext cx="5583119" cy="4167645"/>
                          </a:xfrm>
                          <a:prstGeom prst="rect">
                            <a:avLst/>
                          </a:prstGeom>
                          <a:noFill/>
                          <a:ln>
                            <a:noFill/>
                          </a:ln>
                          <a:extLst>
                            <a:ext uri="{53640926-AAD7-44D8-BBD7-CCE9431645EC}">
                              <a14:shadowObscured xmlns:a14="http://schemas.microsoft.com/office/drawing/2010/main"/>
                            </a:ext>
                          </a:extLst>
                        </pic:spPr>
                      </pic:pic>
                    </a:graphicData>
                  </a:graphic>
                </wp:inline>
              </w:drawing>
            </w:r>
          </w:p>
          <w:p w:rsidRPr="00832509" w:rsidR="00F03017" w:rsidP="00F03017" w:rsidRDefault="00F03017" w14:paraId="56BF439F" w14:textId="1335673D">
            <w:pPr>
              <w:pStyle w:val="Para0"/>
              <w:rPr>
                <w:color w:val="FFFFFF" w:themeColor="background1"/>
                <w:sz w:val="16"/>
                <w:szCs w:val="16"/>
              </w:rPr>
            </w:pPr>
            <w:r w:rsidRPr="00832509">
              <w:rPr>
                <w:color w:val="FFFFFF" w:themeColor="background1"/>
                <w:sz w:val="16"/>
                <w:szCs w:val="16"/>
              </w:rPr>
              <w:t xml:space="preserve">Note: The dark blue arch represents the average satisfaction level with this driver for user </w:t>
            </w:r>
            <w:r w:rsidRPr="00832509" w:rsidR="000615B6">
              <w:rPr>
                <w:color w:val="FFFFFF" w:themeColor="background1"/>
                <w:sz w:val="16"/>
                <w:szCs w:val="16"/>
              </w:rPr>
              <w:t>s</w:t>
            </w:r>
            <w:r w:rsidRPr="00832509">
              <w:rPr>
                <w:color w:val="FFFFFF" w:themeColor="background1"/>
                <w:sz w:val="16"/>
                <w:szCs w:val="16"/>
              </w:rPr>
              <w:t xml:space="preserve">of all Life Events across the EU-10. The green pointer represents the satisfaction level of the user for this driver when experiencing the specific Life Event. The pointer position shows whether satisfaction for the specific Life Event is higher or lower than the overall average. </w:t>
            </w:r>
          </w:p>
          <w:p w:rsidRPr="00EE7985" w:rsidR="00117BE6" w:rsidP="00B129B1" w:rsidRDefault="00141105" w14:paraId="71A302FA" w14:textId="22E4D860">
            <w:pPr>
              <w:pStyle w:val="Para0"/>
              <w:numPr>
                <w:ilvl w:val="0"/>
                <w:numId w:val="27"/>
              </w:numPr>
              <w:rPr>
                <w:b/>
                <w:bCs/>
                <w:color w:val="FFFFFF" w:themeColor="background1"/>
              </w:rPr>
            </w:pPr>
            <w:r>
              <w:rPr>
                <w:b/>
                <w:bCs/>
                <w:color w:val="FFFFFF" w:themeColor="background1"/>
              </w:rPr>
              <w:t>Younger users tend to be less satisfied with the ease of obtaining services</w:t>
            </w:r>
            <w:r>
              <w:rPr>
                <w:color w:val="FFFFFF" w:themeColor="background1"/>
              </w:rPr>
              <w:t>. Satisfaction with this driver is, on average, eight percentage points lower among users aged 18-29 years of age compared to respondents older than 50. This difference is particularly evidence in Greece, Ireland, Latvia, Slovenia and Spain.</w:t>
            </w:r>
          </w:p>
        </w:tc>
      </w:tr>
    </w:tbl>
    <w:p w:rsidRPr="006A0EFB" w:rsidR="007A6E81" w:rsidP="007A6E81" w:rsidRDefault="007A6E81" w14:paraId="2A086736" w14:textId="56BD55EF">
      <w:pPr>
        <w:pStyle w:val="Heading3"/>
        <w:rPr>
          <w:lang w:val="en-US"/>
        </w:rPr>
      </w:pPr>
      <w:r>
        <w:rPr>
          <w:lang w:val="en-US"/>
        </w:rPr>
        <w:t xml:space="preserve">Country practices and lessons learned </w:t>
      </w:r>
    </w:p>
    <w:p w:rsidRPr="00832509" w:rsidR="00973026" w:rsidP="00973026" w:rsidRDefault="00973026" w14:paraId="3100A066" w14:textId="77777777">
      <w:pPr>
        <w:pStyle w:val="Para0"/>
        <w:rPr>
          <w:b/>
          <w:bCs/>
          <w:lang w:val="en-US"/>
        </w:rPr>
      </w:pPr>
      <w:r w:rsidRPr="00832509">
        <w:rPr>
          <w:b/>
          <w:bCs/>
          <w:lang w:val="en-US"/>
        </w:rPr>
        <w:t>A public service is simple when:</w:t>
      </w:r>
    </w:p>
    <w:p w:rsidR="00973026" w:rsidP="00973026" w:rsidRDefault="00973026" w14:paraId="00162EAB" w14:textId="7BE32F96">
      <w:pPr>
        <w:pStyle w:val="BulletedList"/>
        <w:rPr>
          <w:lang w:val="en-US"/>
        </w:rPr>
      </w:pPr>
      <w:r>
        <w:rPr>
          <w:lang w:val="en-US"/>
        </w:rPr>
        <w:t>The process consists of</w:t>
      </w:r>
      <w:r w:rsidR="00F03017">
        <w:rPr>
          <w:lang w:val="en-US"/>
        </w:rPr>
        <w:t xml:space="preserve"> a</w:t>
      </w:r>
      <w:r>
        <w:rPr>
          <w:lang w:val="en-US"/>
        </w:rPr>
        <w:t xml:space="preserve"> </w:t>
      </w:r>
      <w:r w:rsidRPr="007317A7">
        <w:rPr>
          <w:b/>
          <w:bCs/>
          <w:lang w:val="en-US"/>
        </w:rPr>
        <w:t>limited number of steps and concepts</w:t>
      </w:r>
      <w:r>
        <w:rPr>
          <w:lang w:val="en-US"/>
        </w:rPr>
        <w:t xml:space="preserve">, and the user can access the service (including the related information) by completing a </w:t>
      </w:r>
      <w:r w:rsidRPr="007317A7">
        <w:rPr>
          <w:b/>
          <w:bCs/>
          <w:lang w:val="en-US"/>
        </w:rPr>
        <w:t>small number of actions or decisions</w:t>
      </w:r>
      <w:r>
        <w:rPr>
          <w:lang w:val="en-US"/>
        </w:rPr>
        <w:t>.</w:t>
      </w:r>
    </w:p>
    <w:p w:rsidR="00973026" w:rsidP="00973026" w:rsidRDefault="00973026" w14:paraId="6E08FFC7" w14:textId="77777777">
      <w:pPr>
        <w:pStyle w:val="BulletedList"/>
        <w:rPr>
          <w:lang w:val="en-US"/>
        </w:rPr>
      </w:pPr>
      <w:r>
        <w:rPr>
          <w:lang w:val="en-US"/>
        </w:rPr>
        <w:t xml:space="preserve">There is a </w:t>
      </w:r>
      <w:r w:rsidRPr="007317A7">
        <w:rPr>
          <w:b/>
          <w:bCs/>
          <w:lang w:val="en-US"/>
        </w:rPr>
        <w:t>low information burden</w:t>
      </w:r>
      <w:r>
        <w:rPr>
          <w:lang w:val="en-US"/>
        </w:rPr>
        <w:t xml:space="preserve"> attached to the service, i.e., there is minimal data entry required, users are not required to “document-hunt”, questions are not repeated (“once-only” data entry is enabled).</w:t>
      </w:r>
    </w:p>
    <w:p w:rsidR="00973026" w:rsidP="0019621A" w:rsidRDefault="00973026" w14:paraId="1F21E90A" w14:textId="36EC0146">
      <w:pPr>
        <w:pStyle w:val="BulletedList"/>
        <w:rPr>
          <w:lang w:val="en-US"/>
        </w:rPr>
      </w:pPr>
      <w:r>
        <w:rPr>
          <w:lang w:val="en-US"/>
        </w:rPr>
        <w:t xml:space="preserve">There is </w:t>
      </w:r>
      <w:r w:rsidRPr="007317A7">
        <w:rPr>
          <w:b/>
          <w:bCs/>
          <w:lang w:val="en-US"/>
        </w:rPr>
        <w:t>low procedural “noise”</w:t>
      </w:r>
      <w:r>
        <w:rPr>
          <w:lang w:val="en-US"/>
        </w:rPr>
        <w:t>, i.e., the service and access process does not embed many exceptions, too many forms, layers of information gathering, or cross-channel processes.</w:t>
      </w:r>
    </w:p>
    <w:p w:rsidR="005A2C5A" w:rsidP="005A2C5A" w:rsidRDefault="005A2C5A" w14:paraId="72688391" w14:textId="05B61E32">
      <w:pPr>
        <w:pStyle w:val="Para0"/>
        <w:rPr>
          <w:lang w:val="en-US"/>
        </w:rPr>
      </w:pPr>
      <w:r w:rsidRPr="00832509">
        <w:rPr>
          <w:b/>
          <w:bCs/>
          <w:lang w:val="en-US"/>
        </w:rPr>
        <w:t xml:space="preserve">When services are simplified—through clearer rules, fewer steps, interoperable systems, and once-only data use—they become clearer, simpler, and faster, reducing both cognitive and procedural burdens for users. </w:t>
      </w:r>
      <w:r>
        <w:rPr>
          <w:lang w:val="en-US"/>
        </w:rPr>
        <w:t>For example, w</w:t>
      </w:r>
      <w:r w:rsidRPr="00FE7C6F">
        <w:rPr>
          <w:lang w:val="en-US"/>
        </w:rPr>
        <w:t xml:space="preserve">hen a family has a baby, a single digital service </w:t>
      </w:r>
      <w:r>
        <w:rPr>
          <w:lang w:val="en-US"/>
        </w:rPr>
        <w:t>can</w:t>
      </w:r>
      <w:r w:rsidRPr="00FE7C6F">
        <w:rPr>
          <w:lang w:val="en-US"/>
        </w:rPr>
        <w:t xml:space="preserve"> register the birth, trigger child-benefit eligibility, and notify the local health authority—without the parents re-entering information multiple times. For students, a unified </w:t>
      </w:r>
      <w:r w:rsidR="00DA10EB">
        <w:rPr>
          <w:lang w:val="en-US"/>
        </w:rPr>
        <w:t>‘</w:t>
      </w:r>
      <w:r w:rsidRPr="00FE7C6F">
        <w:rPr>
          <w:lang w:val="en-US"/>
        </w:rPr>
        <w:t>becoming a student</w:t>
      </w:r>
      <w:r w:rsidR="00DA10EB">
        <w:rPr>
          <w:lang w:val="en-US"/>
        </w:rPr>
        <w:t>’</w:t>
      </w:r>
      <w:r w:rsidRPr="00FE7C6F">
        <w:rPr>
          <w:lang w:val="en-US"/>
        </w:rPr>
        <w:t xml:space="preserve"> service can link admission </w:t>
      </w:r>
      <w:r w:rsidRPr="00FE7C6F">
        <w:rPr>
          <w:lang w:val="en-US"/>
        </w:rPr>
        <w:t>confirmation to housing, social insurance, and tax registration.</w:t>
      </w:r>
      <w:r>
        <w:rPr>
          <w:lang w:val="en-US"/>
        </w:rPr>
        <w:t xml:space="preserve"> </w:t>
      </w:r>
      <w:r w:rsidRPr="00FE7C6F">
        <w:rPr>
          <w:lang w:val="en-US"/>
        </w:rPr>
        <w:t xml:space="preserve">These end-to-end journeys turn fragmented bureaucratic steps into one coherent, supportive </w:t>
      </w:r>
      <w:r w:rsidR="00DA10EB">
        <w:rPr>
          <w:lang w:val="en-US"/>
        </w:rPr>
        <w:t xml:space="preserve">user </w:t>
      </w:r>
      <w:r w:rsidRPr="00FE7C6F">
        <w:rPr>
          <w:lang w:val="en-US"/>
        </w:rPr>
        <w:t>experience</w:t>
      </w:r>
      <w:r w:rsidR="00DA10EB">
        <w:rPr>
          <w:lang w:val="en-US"/>
        </w:rPr>
        <w:t>s</w:t>
      </w:r>
      <w:r w:rsidRPr="00FE7C6F">
        <w:rPr>
          <w:lang w:val="en-US"/>
        </w:rPr>
        <w:t>.</w:t>
      </w:r>
    </w:p>
    <w:p w:rsidR="005A2C5A" w:rsidP="005A2C5A" w:rsidRDefault="005A2C5A" w14:paraId="56454C78" w14:textId="43AB97CD">
      <w:pPr>
        <w:pStyle w:val="Para0"/>
      </w:pPr>
      <w:r w:rsidRPr="00832509">
        <w:rPr>
          <w:b/>
          <w:bCs/>
          <w:lang w:val="en-US"/>
        </w:rPr>
        <w:t>Reduced complexity and burden for administrators</w:t>
      </w:r>
      <w:r w:rsidRPr="00F663AD">
        <w:rPr>
          <w:lang w:val="en-US"/>
        </w:rPr>
        <w:t xml:space="preserve">—by streamlining workflows, </w:t>
      </w:r>
      <w:r>
        <w:rPr>
          <w:lang w:val="en-US"/>
        </w:rPr>
        <w:t xml:space="preserve">revising information obligations and data collection, </w:t>
      </w:r>
      <w:r w:rsidRPr="00F663AD">
        <w:rPr>
          <w:lang w:val="en-US"/>
        </w:rPr>
        <w:t>harmonising data systems, and cutting redundant validation—</w:t>
      </w:r>
      <w:r w:rsidRPr="00832509">
        <w:rPr>
          <w:b/>
          <w:bCs/>
          <w:lang w:val="en-US"/>
        </w:rPr>
        <w:t>enables integration and seamlessness across life-event services, ensuring that users experience government as one coordinated system rather than multiple disconnected agencies.</w:t>
      </w:r>
      <w:r>
        <w:rPr>
          <w:lang w:val="en-US"/>
        </w:rPr>
        <w:t xml:space="preserve"> </w:t>
      </w:r>
      <w:r w:rsidRPr="00BF7245">
        <w:rPr>
          <w:lang w:val="en-US"/>
        </w:rPr>
        <w:t xml:space="preserve">For example, Greece’s </w:t>
      </w:r>
      <w:r w:rsidRPr="00230562">
        <w:rPr>
          <w:i/>
          <w:iCs/>
          <w:lang w:val="en-US"/>
        </w:rPr>
        <w:t>National Registry of Administrative Procedures</w:t>
      </w:r>
      <w:r>
        <w:rPr>
          <w:rStyle w:val="FootnoteReference"/>
          <w:i/>
          <w:iCs/>
          <w:lang w:val="en-US"/>
        </w:rPr>
        <w:footnoteReference w:id="4"/>
      </w:r>
      <w:r w:rsidRPr="00BF7245">
        <w:rPr>
          <w:lang w:val="en-US"/>
        </w:rPr>
        <w:t xml:space="preserve"> and Portugal’s </w:t>
      </w:r>
      <w:r w:rsidRPr="00230562">
        <w:rPr>
          <w:i/>
          <w:iCs/>
          <w:lang w:val="en-US"/>
        </w:rPr>
        <w:t>ePortugal</w:t>
      </w:r>
      <w:r>
        <w:rPr>
          <w:rStyle w:val="FootnoteReference"/>
          <w:i/>
          <w:iCs/>
          <w:lang w:val="en-US"/>
        </w:rPr>
        <w:footnoteReference w:id="5"/>
      </w:r>
      <w:r w:rsidRPr="00BF7245">
        <w:rPr>
          <w:lang w:val="en-US"/>
        </w:rPr>
        <w:t xml:space="preserve"> portal demonstrate how simplifying and mapping processes across ministries creates a single authoritative knowledge base for both officials and users.</w:t>
      </w:r>
      <w:r w:rsidR="00DA10EB">
        <w:rPr>
          <w:lang w:val="en-US"/>
        </w:rPr>
        <w:t xml:space="preserve"> </w:t>
      </w:r>
      <w:r w:rsidRPr="00A40062">
        <w:rPr>
          <w:lang w:val="en-US"/>
        </w:rPr>
        <w:t xml:space="preserve">Furthermore, </w:t>
      </w:r>
      <w:r w:rsidRPr="00832509">
        <w:rPr>
          <w:b/>
          <w:bCs/>
          <w:lang w:val="en-US"/>
        </w:rPr>
        <w:t>r</w:t>
      </w:r>
      <w:r w:rsidRPr="00832509">
        <w:rPr>
          <w:b/>
          <w:bCs/>
        </w:rPr>
        <w:t>isk-based service design</w:t>
      </w:r>
      <w:r w:rsidR="00427251">
        <w:t xml:space="preserve"> (</w:t>
      </w:r>
      <w:r w:rsidR="00427251">
        <w:fldChar w:fldCharType="begin"/>
      </w:r>
      <w:r w:rsidR="00427251">
        <w:instrText xml:space="preserve"> REF _Ref215589718 \h </w:instrText>
      </w:r>
      <w:r w:rsidR="00427251">
        <w:fldChar w:fldCharType="separate"/>
      </w:r>
      <w:r w:rsidRPr="00B44A50" w:rsidR="00543B3D">
        <w:t>Box</w:t>
      </w:r>
      <w:r w:rsidR="00543B3D">
        <w:t> </w:t>
      </w:r>
      <w:r w:rsidR="00543B3D">
        <w:rPr>
          <w:noProof/>
        </w:rPr>
        <w:t>4</w:t>
      </w:r>
      <w:r w:rsidR="00543B3D">
        <w:t>.</w:t>
      </w:r>
      <w:r w:rsidR="00543B3D">
        <w:rPr>
          <w:noProof/>
        </w:rPr>
        <w:t>1</w:t>
      </w:r>
      <w:r w:rsidR="00427251">
        <w:fldChar w:fldCharType="end"/>
      </w:r>
      <w:r w:rsidR="00427251">
        <w:t>)</w:t>
      </w:r>
      <w:r w:rsidRPr="00A40062">
        <w:t xml:space="preserve"> can reduce unnecessary user effort by removing redundant checks for trusted or low-risk users, enhancing convenience and supporting user-centred design interactions. </w:t>
      </w:r>
    </w:p>
    <w:p w:rsidR="00E63105" w:rsidP="00E63105" w:rsidRDefault="00E63105" w14:paraId="702DB178" w14:textId="77777777">
      <w:pPr>
        <w:pStyle w:val="Para0"/>
        <w:rPr>
          <w:lang w:val="en-US"/>
        </w:rPr>
      </w:pPr>
      <w:r w:rsidRPr="00832509">
        <w:rPr>
          <w:b/>
          <w:bCs/>
        </w:rPr>
        <w:t>At the same time, risk-based approaches help maintain fairness, which preserves confidence among the public that simplification does not mean laxity or favouritism.</w:t>
      </w:r>
      <w:r w:rsidRPr="00A40062">
        <w:t xml:space="preserve"> For example, when registering a death, the system can auto-notify linked services (pensions, health insurance</w:t>
      </w:r>
      <w:r w:rsidRPr="00382D96">
        <w:t>) once validated by the civil registry—avoiding extra paperwork but maintaining safeguards.</w:t>
      </w:r>
      <w:r>
        <w:t xml:space="preserve"> </w:t>
      </w:r>
    </w:p>
    <w:p w:rsidR="00E63105" w:rsidP="00E63105" w:rsidRDefault="00E63105" w14:paraId="23FE2AD4" w14:textId="4DA58286">
      <w:pPr>
        <w:pStyle w:val="Para0"/>
        <w:rPr>
          <w:lang w:val="en-US"/>
        </w:rPr>
      </w:pPr>
      <w:r w:rsidRPr="00832509">
        <w:rPr>
          <w:b/>
          <w:bCs/>
          <w:lang w:val="en-US"/>
        </w:rPr>
        <w:t>Simplification has been a key objective for many EU Member States over the previous decades, which has led to multiple initiatives to reduce red tape, cut administrative burden and eliminate regulations or unnecessary procedure and requirements</w:t>
      </w:r>
      <w:r>
        <w:rPr>
          <w:lang w:val="en-US"/>
        </w:rPr>
        <w:t xml:space="preserve"> </w:t>
      </w:r>
      <w:sdt>
        <w:sdtPr>
          <w:rPr>
            <w:lang w:val="en-US"/>
          </w:rPr>
          <w:id w:val="880053475"/>
          <w:citation/>
        </w:sdtPr>
        <w:sdtEndPr/>
        <w:sdtContent>
          <w:r>
            <w:rPr>
              <w:lang w:val="en-US"/>
            </w:rPr>
            <w:fldChar w:fldCharType="begin"/>
          </w:r>
          <w:r w:rsidRPr="00171282">
            <w:rPr>
              <w:lang w:val="en-US"/>
            </w:rPr>
            <w:instrText xml:space="preserve"> CITATION OEC251 \l 1036 </w:instrText>
          </w:r>
          <w:r>
            <w:rPr>
              <w:lang w:val="en-US"/>
            </w:rPr>
            <w:fldChar w:fldCharType="separate"/>
          </w:r>
          <w:r w:rsidRPr="00F86F21" w:rsidR="00F86F21">
            <w:rPr>
              <w:noProof/>
              <w:lang w:val="en-US"/>
            </w:rPr>
            <w:t>(</w:t>
          </w:r>
          <w:bookmarkStart w:name="OEC251_21" w:id="127"/>
          <w:r w:rsidRPr="00F86F21" w:rsidR="00F86F21">
            <w:rPr>
              <w:noProof/>
              <w:lang w:val="en-US"/>
            </w:rPr>
            <w:t>OECD, 2025</w:t>
          </w:r>
          <w:r w:rsidRPr="00F86F21" w:rsidR="00F86F21">
            <w:rPr>
              <w:noProof/>
              <w:vertAlign w:val="subscript"/>
              <w:lang w:val="en-US"/>
            </w:rPr>
            <w:t>[21]</w:t>
          </w:r>
          <w:r w:rsidRPr="00F86F21" w:rsidR="00F86F21">
            <w:rPr>
              <w:noProof/>
              <w:lang w:val="en-US"/>
            </w:rPr>
            <w:t>)</w:t>
          </w:r>
          <w:bookmarkEnd w:id="127"/>
          <w:r>
            <w:rPr>
              <w:lang w:val="en-US"/>
            </w:rPr>
            <w:fldChar w:fldCharType="end"/>
          </w:r>
        </w:sdtContent>
      </w:sdt>
      <w:r>
        <w:rPr>
          <w:lang w:val="en-US"/>
        </w:rPr>
        <w:t>. For instance, Spain has implemented a large simplification programme that also tackled services and provided citizens with personalized digital dashboard to track their own procedures and access their information (</w:t>
      </w:r>
      <w:r>
        <w:rPr>
          <w:lang w:val="en-US"/>
        </w:rPr>
        <w:fldChar w:fldCharType="begin"/>
      </w:r>
      <w:r>
        <w:rPr>
          <w:lang w:val="en-US"/>
        </w:rPr>
        <w:instrText xml:space="preserve"> REF _Ref215413776 \h </w:instrText>
      </w:r>
      <w:r>
        <w:rPr>
          <w:lang w:val="en-US"/>
        </w:rPr>
      </w:r>
      <w:r>
        <w:rPr>
          <w:lang w:val="en-US"/>
        </w:rPr>
        <w:fldChar w:fldCharType="separate"/>
      </w:r>
      <w:r w:rsidRPr="00B44A50" w:rsidR="00543B3D">
        <w:t>Box</w:t>
      </w:r>
      <w:r w:rsidR="00543B3D">
        <w:t> </w:t>
      </w:r>
      <w:r w:rsidR="00543B3D">
        <w:rPr>
          <w:noProof/>
        </w:rPr>
        <w:t>4</w:t>
      </w:r>
      <w:r w:rsidR="00543B3D">
        <w:t>.</w:t>
      </w:r>
      <w:r w:rsidR="00543B3D">
        <w:rPr>
          <w:noProof/>
        </w:rPr>
        <w:t>2</w:t>
      </w:r>
      <w:r>
        <w:rPr>
          <w:lang w:val="en-US"/>
        </w:rPr>
        <w:fldChar w:fldCharType="end"/>
      </w:r>
      <w:r>
        <w:rPr>
          <w:lang w:val="en-US"/>
        </w:rPr>
        <w:t xml:space="preserve">). </w:t>
      </w:r>
    </w:p>
    <w:p w:rsidRPr="00E63105" w:rsidR="00E63105" w:rsidP="005A2C5A" w:rsidRDefault="00E63105" w14:paraId="55B8EBAD" w14:textId="77777777">
      <w:pPr>
        <w:pStyle w:val="Para0"/>
        <w:rPr>
          <w:lang w:val="en-US"/>
        </w:rPr>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5A2C5A" w:rsidTr="003F3C46" w14:paraId="0F23F6DC"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5A2C5A" w:rsidP="003F3C46" w:rsidRDefault="005A2C5A" w14:paraId="3B9381FE" w14:textId="73315C66">
            <w:pPr>
              <w:pStyle w:val="Caption"/>
            </w:pPr>
            <w:bookmarkStart w:name="_Ref215589718" w:id="128"/>
            <w:bookmarkStart w:name="_Toc223413822" w:id="129"/>
            <w:r w:rsidRPr="00B44A50">
              <w:t>Box</w:t>
            </w:r>
            <w:r>
              <w:t> </w:t>
            </w:r>
            <w:r>
              <w:rPr>
                <w:noProof/>
              </w:rPr>
              <w:fldChar w:fldCharType="begin"/>
            </w:r>
            <w:r>
              <w:rPr>
                <w:noProof/>
              </w:rPr>
              <w:instrText xml:space="preserve"> STYLEREF 1 \s </w:instrText>
            </w:r>
            <w:r>
              <w:rPr>
                <w:noProof/>
              </w:rPr>
              <w:fldChar w:fldCharType="separate"/>
            </w:r>
            <w:r w:rsidR="00543B3D">
              <w:rPr>
                <w:noProof/>
              </w:rPr>
              <w:t>4</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1</w:t>
            </w:r>
            <w:r>
              <w:rPr>
                <w:noProof/>
              </w:rPr>
              <w:fldChar w:fldCharType="end"/>
            </w:r>
            <w:bookmarkEnd w:id="128"/>
            <w:r>
              <w:t>. Applying risk-based approaches for simplification</w:t>
            </w:r>
            <w:bookmarkEnd w:id="129"/>
            <w:r>
              <w:t xml:space="preserve"> </w:t>
            </w:r>
          </w:p>
          <w:p w:rsidR="005A2C5A" w:rsidP="00832509" w:rsidRDefault="005A2C5A" w14:paraId="24EEC46B" w14:textId="24588753">
            <w:pPr>
              <w:pStyle w:val="Para0"/>
              <w:rPr>
                <w:lang w:val="en-US"/>
              </w:rPr>
            </w:pPr>
            <w:r w:rsidRPr="001E449C">
              <w:t xml:space="preserve">Applying risk-based approaches is central to the idea of simplification. By ensuring design choices are shaped by risk assessment, and the associated obligations and requirements placed on users (and administrators) are kept proportionate to the level of risk, users will experience a simpler, less complex service environment overall. Detailed risk assessment also enables users to be better understood and targeted, leading to more appropriate, tailored service design, which users are likely to experience as a more straightforward and sensible service that meets their needs </w:t>
            </w:r>
            <w:sdt>
              <w:sdtPr>
                <w:rPr>
                  <w:lang w:val="en-US"/>
                </w:rPr>
                <w:id w:val="-626312343"/>
                <w:citation/>
              </w:sdtPr>
              <w:sdtEndPr/>
              <w:sdtContent>
                <w:r w:rsidRPr="001E449C">
                  <w:rPr>
                    <w:lang w:val="en-US"/>
                  </w:rPr>
                  <w:fldChar w:fldCharType="begin"/>
                </w:r>
                <w:r w:rsidRPr="001E449C">
                  <w:instrText xml:space="preserve"> CITATION OEC183 \l 2057 </w:instrText>
                </w:r>
                <w:r w:rsidRPr="001E449C">
                  <w:rPr>
                    <w:lang w:val="en-US"/>
                  </w:rPr>
                  <w:fldChar w:fldCharType="separate"/>
                </w:r>
                <w:r w:rsidRPr="00F86F21" w:rsidR="00F86F21">
                  <w:rPr>
                    <w:noProof/>
                  </w:rPr>
                  <w:t>(</w:t>
                </w:r>
                <w:bookmarkStart w:name="OEC183_22" w:id="130"/>
                <w:r w:rsidRPr="00F86F21" w:rsidR="00F86F21">
                  <w:rPr>
                    <w:noProof/>
                  </w:rPr>
                  <w:t>OECD, 2018</w:t>
                </w:r>
                <w:r w:rsidRPr="00F86F21" w:rsidR="00F86F21">
                  <w:rPr>
                    <w:noProof/>
                    <w:vertAlign w:val="subscript"/>
                  </w:rPr>
                  <w:t>[22]</w:t>
                </w:r>
                <w:r w:rsidRPr="00F86F21" w:rsidR="00F86F21">
                  <w:rPr>
                    <w:noProof/>
                  </w:rPr>
                  <w:t>)</w:t>
                </w:r>
                <w:bookmarkEnd w:id="130"/>
                <w:r w:rsidRPr="001E449C">
                  <w:rPr>
                    <w:lang w:val="en-US"/>
                  </w:rPr>
                  <w:fldChar w:fldCharType="end"/>
                </w:r>
              </w:sdtContent>
            </w:sdt>
            <w:r w:rsidR="00DA10EB">
              <w:rPr>
                <w:lang w:val="en-US"/>
              </w:rPr>
              <w:t>.</w:t>
            </w:r>
          </w:p>
          <w:p w:rsidR="005A2C5A" w:rsidP="003F3C46" w:rsidRDefault="005A2C5A" w14:paraId="76F1F9DC" w14:textId="77777777">
            <w:pPr>
              <w:pStyle w:val="Para0"/>
              <w:rPr>
                <w:lang w:val="en-US"/>
              </w:rPr>
            </w:pPr>
            <w:r>
              <w:rPr>
                <w:lang w:val="en-US"/>
              </w:rPr>
              <w:t>In the regulatory environment, “risk-based” delivery means that the implementation of regulatory processes – the design and operation of monitoring, compliance and enforcement mechanisms – are proportionate to the potential risks rather than uniformly applied, considering various types of risks (e.g., consumer harm, human errors, misuse, etc.). Essentially, taking a risk-based approach entails a shift to a more agile framework and a focus on outcome-based proportionality – verify more where the stakes are higher, and simplify where the risks are lower. This approach has long been the standard in regulatory enforcement and applying the same logic to public service design can deliver targeted, fair and efficient outcomes.</w:t>
            </w:r>
          </w:p>
          <w:p w:rsidR="005A2C5A" w:rsidP="003F3C46" w:rsidRDefault="005A2C5A" w14:paraId="3C0B6794" w14:textId="77777777">
            <w:pPr>
              <w:pStyle w:val="Para0"/>
              <w:rPr>
                <w:lang w:val="en-US"/>
              </w:rPr>
            </w:pPr>
            <w:r>
              <w:rPr>
                <w:lang w:val="en-US"/>
              </w:rPr>
              <w:t xml:space="preserve">Following this logic, when simplifying and reducing complexity associated with service delivery, designers should avoid removing procedures indiscriminately. Burden-reducing design choices (e.g., automated renewals, pre-filled forms, self-declaration) should be used for low-risk and routine cases. However, procedures that deliver greater accountability and oversight, with an increased level of complexity and </w:t>
            </w:r>
            <w:r w:rsidRPr="001F7AEF">
              <w:rPr>
                <w:lang w:val="en-US"/>
              </w:rPr>
              <w:t>administrative burden, would</w:t>
            </w:r>
            <w:r>
              <w:rPr>
                <w:lang w:val="en-US"/>
              </w:rPr>
              <w:t xml:space="preserve"> be appropriate for high-risk, high-impact transactions. Most importantly, the principle of proportionality should always apply, and the suitability and impact of delivery arrangements should be regularly assessed.</w:t>
            </w:r>
          </w:p>
          <w:p w:rsidR="005A2C5A" w:rsidP="003F3C46" w:rsidRDefault="005A2C5A" w14:paraId="1C917FF2" w14:textId="77777777">
            <w:pPr>
              <w:pStyle w:val="Para0"/>
              <w:rPr>
                <w:b/>
                <w:bCs/>
                <w:lang w:val="en-US"/>
              </w:rPr>
            </w:pPr>
            <w:r>
              <w:rPr>
                <w:b/>
                <w:bCs/>
                <w:lang w:val="en-US"/>
              </w:rPr>
              <w:t xml:space="preserve">Examples of applying risk-based principles to public service design and delivery </w:t>
            </w:r>
          </w:p>
          <w:tbl>
            <w:tblPr>
              <w:tblStyle w:val="OEC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614"/>
              <w:gridCol w:w="3253"/>
              <w:gridCol w:w="4148"/>
            </w:tblGrid>
            <w:tr w:rsidRPr="00D35439" w:rsidR="005A2C5A" w:rsidTr="00832509" w14:paraId="3CE4FBEC" w14:textId="77777777">
              <w:tc>
                <w:tcPr>
                  <w:tcW w:w="0" w:type="auto"/>
                  <w:hideMark/>
                </w:tcPr>
                <w:p w:rsidRPr="00D35439" w:rsidR="005A2C5A" w:rsidP="003F3C46" w:rsidRDefault="005A2C5A" w14:paraId="14E61EF7" w14:textId="77777777">
                  <w:pPr>
                    <w:pStyle w:val="Para0"/>
                    <w:rPr>
                      <w:b/>
                      <w:bCs/>
                    </w:rPr>
                  </w:pPr>
                </w:p>
              </w:tc>
              <w:tc>
                <w:tcPr>
                  <w:tcW w:w="0" w:type="auto"/>
                  <w:hideMark/>
                </w:tcPr>
                <w:p w:rsidRPr="00D35439" w:rsidR="005A2C5A" w:rsidP="003F3C46" w:rsidRDefault="005A2C5A" w14:paraId="5B3E981C" w14:textId="77777777">
                  <w:pPr>
                    <w:pStyle w:val="Para0"/>
                    <w:rPr>
                      <w:b/>
                      <w:bCs/>
                    </w:rPr>
                  </w:pPr>
                  <w:r w:rsidRPr="00D35439">
                    <w:rPr>
                      <w:b/>
                      <w:bCs/>
                    </w:rPr>
                    <w:t>Application of risk-based principles</w:t>
                  </w:r>
                </w:p>
              </w:tc>
              <w:tc>
                <w:tcPr>
                  <w:tcW w:w="0" w:type="auto"/>
                  <w:hideMark/>
                </w:tcPr>
                <w:p w:rsidRPr="00D35439" w:rsidR="005A2C5A" w:rsidP="003F3C46" w:rsidRDefault="005A2C5A" w14:paraId="0B5E54B9" w14:textId="77777777">
                  <w:pPr>
                    <w:pStyle w:val="Para0"/>
                    <w:rPr>
                      <w:b/>
                      <w:bCs/>
                    </w:rPr>
                  </w:pPr>
                  <w:r w:rsidRPr="00D35439">
                    <w:rPr>
                      <w:b/>
                      <w:bCs/>
                    </w:rPr>
                    <w:t>Example</w:t>
                  </w:r>
                  <w:r>
                    <w:rPr>
                      <w:b/>
                      <w:bCs/>
                    </w:rPr>
                    <w:t>s</w:t>
                  </w:r>
                </w:p>
              </w:tc>
            </w:tr>
            <w:tr w:rsidRPr="00D35439" w:rsidR="005A2C5A" w:rsidTr="00832509" w14:paraId="2BB167EB" w14:textId="77777777">
              <w:tc>
                <w:tcPr>
                  <w:tcW w:w="0" w:type="auto"/>
                  <w:hideMark/>
                </w:tcPr>
                <w:p w:rsidRPr="00D35439" w:rsidR="005A2C5A" w:rsidP="003F3C46" w:rsidRDefault="005A2C5A" w14:paraId="37A167D9" w14:textId="77777777">
                  <w:pPr>
                    <w:pStyle w:val="Para0"/>
                    <w:jc w:val="left"/>
                  </w:pPr>
                  <w:r w:rsidRPr="00D35439">
                    <w:rPr>
                      <w:b/>
                      <w:bCs/>
                    </w:rPr>
                    <w:t>Policy and rule design</w:t>
                  </w:r>
                </w:p>
              </w:tc>
              <w:tc>
                <w:tcPr>
                  <w:tcW w:w="0" w:type="auto"/>
                  <w:hideMark/>
                </w:tcPr>
                <w:p w:rsidRPr="00D35439" w:rsidR="005A2C5A" w:rsidP="003F3C46" w:rsidRDefault="005A2C5A" w14:paraId="4619C4E0" w14:textId="77777777">
                  <w:pPr>
                    <w:pStyle w:val="Para0"/>
                    <w:jc w:val="left"/>
                  </w:pPr>
                  <w:r w:rsidRPr="00D35439">
                    <w:t>Differentiate procedures according to risk, cost, and value of error. Avoid “one-size-fits-all” compliance steps.</w:t>
                  </w:r>
                </w:p>
              </w:tc>
              <w:tc>
                <w:tcPr>
                  <w:tcW w:w="0" w:type="auto"/>
                  <w:hideMark/>
                </w:tcPr>
                <w:p w:rsidRPr="00D35439" w:rsidR="005A2C5A" w:rsidP="003F3C46" w:rsidRDefault="005A2C5A" w14:paraId="65A2A56E" w14:textId="3F25350F">
                  <w:pPr>
                    <w:pStyle w:val="Para0"/>
                    <w:jc w:val="left"/>
                  </w:pPr>
                  <w:r>
                    <w:t>B</w:t>
                  </w:r>
                  <w:r w:rsidRPr="00D35439">
                    <w:t>asic student grants could be auto</w:t>
                  </w:r>
                  <w:r w:rsidR="003B5894">
                    <w:t xml:space="preserve">matically </w:t>
                  </w:r>
                  <w:r w:rsidRPr="00D35439">
                    <w:t>awarded based on verified income data; only unusual or incomplete cases trigger manual review.</w:t>
                  </w:r>
                </w:p>
              </w:tc>
            </w:tr>
            <w:tr w:rsidRPr="00D35439" w:rsidR="005A2C5A" w:rsidTr="00832509" w14:paraId="095F7029" w14:textId="77777777">
              <w:tc>
                <w:tcPr>
                  <w:tcW w:w="0" w:type="auto"/>
                  <w:hideMark/>
                </w:tcPr>
                <w:p w:rsidRPr="00D35439" w:rsidR="005A2C5A" w:rsidP="003F3C46" w:rsidRDefault="005A2C5A" w14:paraId="4FEC7EFB" w14:textId="77777777">
                  <w:pPr>
                    <w:pStyle w:val="Para0"/>
                    <w:jc w:val="left"/>
                  </w:pPr>
                  <w:r w:rsidRPr="00D35439">
                    <w:rPr>
                      <w:b/>
                      <w:bCs/>
                    </w:rPr>
                    <w:t>Process design and workflow</w:t>
                  </w:r>
                </w:p>
              </w:tc>
              <w:tc>
                <w:tcPr>
                  <w:tcW w:w="0" w:type="auto"/>
                  <w:hideMark/>
                </w:tcPr>
                <w:p w:rsidRPr="00D35439" w:rsidR="005A2C5A" w:rsidP="003F3C46" w:rsidRDefault="005A2C5A" w14:paraId="3ED05081" w14:textId="77777777">
                  <w:pPr>
                    <w:pStyle w:val="Para0"/>
                    <w:jc w:val="left"/>
                  </w:pPr>
                  <w:r w:rsidRPr="00D35439">
                    <w:t>Use data-driven risk scoring to allocate effort: automate low-risk transactions, escalate high-risk ones.</w:t>
                  </w:r>
                </w:p>
              </w:tc>
              <w:tc>
                <w:tcPr>
                  <w:tcW w:w="0" w:type="auto"/>
                  <w:hideMark/>
                </w:tcPr>
                <w:p w:rsidRPr="00D35439" w:rsidR="005A2C5A" w:rsidP="003F3C46" w:rsidRDefault="005A2C5A" w14:paraId="58AD3F3A" w14:textId="77777777">
                  <w:pPr>
                    <w:pStyle w:val="Para0"/>
                    <w:jc w:val="left"/>
                  </w:pPr>
                  <w:r w:rsidRPr="00D35439">
                    <w:t>In birth registration or passport renewals, cross-check digital identity and registry data automatically; manual verification only for anomalies.</w:t>
                  </w:r>
                </w:p>
              </w:tc>
            </w:tr>
            <w:tr w:rsidRPr="00D35439" w:rsidR="005A2C5A" w:rsidTr="00832509" w14:paraId="7CEF05FD" w14:textId="77777777">
              <w:tc>
                <w:tcPr>
                  <w:tcW w:w="0" w:type="auto"/>
                  <w:hideMark/>
                </w:tcPr>
                <w:p w:rsidRPr="00D35439" w:rsidR="005A2C5A" w:rsidP="003F3C46" w:rsidRDefault="005A2C5A" w14:paraId="2D5E9170" w14:textId="77777777">
                  <w:pPr>
                    <w:pStyle w:val="Para0"/>
                    <w:jc w:val="left"/>
                  </w:pPr>
                  <w:r w:rsidRPr="00D35439">
                    <w:rPr>
                      <w:b/>
                      <w:bCs/>
                    </w:rPr>
                    <w:t>User interaction</w:t>
                  </w:r>
                </w:p>
              </w:tc>
              <w:tc>
                <w:tcPr>
                  <w:tcW w:w="0" w:type="auto"/>
                  <w:hideMark/>
                </w:tcPr>
                <w:p w:rsidRPr="00D35439" w:rsidR="005A2C5A" w:rsidP="003F3C46" w:rsidRDefault="005A2C5A" w14:paraId="1FFE468A" w14:textId="77777777">
                  <w:pPr>
                    <w:pStyle w:val="Para0"/>
                    <w:jc w:val="left"/>
                  </w:pPr>
                  <w:r w:rsidRPr="00D35439">
                    <w:t>Tailor documentation and prompts based on profile and history.</w:t>
                  </w:r>
                </w:p>
              </w:tc>
              <w:tc>
                <w:tcPr>
                  <w:tcW w:w="0" w:type="auto"/>
                  <w:hideMark/>
                </w:tcPr>
                <w:p w:rsidRPr="00D35439" w:rsidR="005A2C5A" w:rsidP="003F3C46" w:rsidRDefault="005A2C5A" w14:paraId="78E4CF3B" w14:textId="77777777">
                  <w:pPr>
                    <w:pStyle w:val="Para0"/>
                    <w:jc w:val="left"/>
                  </w:pPr>
                  <w:r w:rsidRPr="00D35439">
                    <w:t>Businesses with strong compliance history may face lighter reporting; new entities or those flagged for risk may provide more evidence.</w:t>
                  </w:r>
                </w:p>
              </w:tc>
            </w:tr>
            <w:tr w:rsidRPr="00D35439" w:rsidR="005A2C5A" w:rsidTr="00832509" w14:paraId="114503DD" w14:textId="77777777">
              <w:tc>
                <w:tcPr>
                  <w:tcW w:w="0" w:type="auto"/>
                  <w:hideMark/>
                </w:tcPr>
                <w:p w:rsidRPr="00D35439" w:rsidR="005A2C5A" w:rsidP="003F3C46" w:rsidRDefault="005A2C5A" w14:paraId="78C5A8FA" w14:textId="77777777">
                  <w:pPr>
                    <w:pStyle w:val="Para0"/>
                    <w:jc w:val="left"/>
                  </w:pPr>
                  <w:r w:rsidRPr="00D35439">
                    <w:rPr>
                      <w:b/>
                      <w:bCs/>
                    </w:rPr>
                    <w:t>Back-office management</w:t>
                  </w:r>
                </w:p>
              </w:tc>
              <w:tc>
                <w:tcPr>
                  <w:tcW w:w="0" w:type="auto"/>
                  <w:hideMark/>
                </w:tcPr>
                <w:p w:rsidRPr="00D35439" w:rsidR="005A2C5A" w:rsidP="003F3C46" w:rsidRDefault="005A2C5A" w14:paraId="51F07894" w14:textId="77777777">
                  <w:pPr>
                    <w:pStyle w:val="Para0"/>
                    <w:jc w:val="left"/>
                  </w:pPr>
                  <w:r w:rsidRPr="00D35439">
                    <w:t>Prioritise staff time for areas with higher risk or public interest.</w:t>
                  </w:r>
                </w:p>
              </w:tc>
              <w:tc>
                <w:tcPr>
                  <w:tcW w:w="0" w:type="auto"/>
                  <w:hideMark/>
                </w:tcPr>
                <w:p w:rsidRPr="00D35439" w:rsidR="005A2C5A" w:rsidP="003F3C46" w:rsidRDefault="005A2C5A" w14:paraId="114EA60D" w14:textId="77777777">
                  <w:pPr>
                    <w:pStyle w:val="Para0"/>
                    <w:jc w:val="left"/>
                  </w:pPr>
                  <w:r w:rsidRPr="00D35439">
                    <w:t>Caseworkers focus on appeals or exceptions rather than repetitive low-risk renewals.</w:t>
                  </w:r>
                </w:p>
              </w:tc>
            </w:tr>
            <w:tr w:rsidRPr="00D35439" w:rsidR="005A2C5A" w:rsidTr="00832509" w14:paraId="49100574" w14:textId="77777777">
              <w:tc>
                <w:tcPr>
                  <w:tcW w:w="0" w:type="auto"/>
                  <w:hideMark/>
                </w:tcPr>
                <w:p w:rsidRPr="00D35439" w:rsidR="005A2C5A" w:rsidP="003F3C46" w:rsidRDefault="005A2C5A" w14:paraId="1FB1DF2C" w14:textId="77777777">
                  <w:pPr>
                    <w:pStyle w:val="Para0"/>
                    <w:jc w:val="left"/>
                  </w:pPr>
                  <w:r w:rsidRPr="00D35439">
                    <w:rPr>
                      <w:b/>
                      <w:bCs/>
                    </w:rPr>
                    <w:t>Continuous improvement</w:t>
                  </w:r>
                </w:p>
              </w:tc>
              <w:tc>
                <w:tcPr>
                  <w:tcW w:w="0" w:type="auto"/>
                  <w:hideMark/>
                </w:tcPr>
                <w:p w:rsidRPr="00D35439" w:rsidR="005A2C5A" w:rsidP="003F3C46" w:rsidRDefault="005A2C5A" w14:paraId="05CB6312" w14:textId="77777777">
                  <w:pPr>
                    <w:pStyle w:val="Para0"/>
                    <w:jc w:val="left"/>
                  </w:pPr>
                  <w:r w:rsidRPr="00D35439">
                    <w:t>Analyse transaction data to refine risk models and simplify further where justified.</w:t>
                  </w:r>
                </w:p>
              </w:tc>
              <w:tc>
                <w:tcPr>
                  <w:tcW w:w="0" w:type="auto"/>
                  <w:hideMark/>
                </w:tcPr>
                <w:p w:rsidRPr="00D35439" w:rsidR="005A2C5A" w:rsidP="003F3C46" w:rsidRDefault="005A2C5A" w14:paraId="66A452F9" w14:textId="77777777">
                  <w:pPr>
                    <w:pStyle w:val="Para0"/>
                    <w:jc w:val="left"/>
                  </w:pPr>
                  <w:r w:rsidRPr="00D35439">
                    <w:t>Machine learning tools (</w:t>
                  </w:r>
                  <w:r w:rsidRPr="00364B92">
                    <w:t xml:space="preserve">as piloted in </w:t>
                  </w:r>
                  <w:r w:rsidRPr="00BE0BCE">
                    <w:t>Italy’s inspection systems</w:t>
                  </w:r>
                  <w:r w:rsidRPr="00BE0BCE">
                    <w:rPr>
                      <w:rStyle w:val="FootnoteReference"/>
                    </w:rPr>
                    <w:footnoteReference w:id="6"/>
                  </w:r>
                  <w:r w:rsidRPr="00364B92">
                    <w:t>) predict non-comp</w:t>
                  </w:r>
                  <w:r w:rsidRPr="00D35439">
                    <w:t>liance risk, freeing resources for user support and service improvement.</w:t>
                  </w:r>
                </w:p>
              </w:tc>
            </w:tr>
          </w:tbl>
          <w:p w:rsidRPr="000874CD" w:rsidR="005A2C5A" w:rsidP="003F3C46" w:rsidRDefault="005A2C5A" w14:paraId="06AE1BAB" w14:textId="77777777">
            <w:pPr>
              <w:pStyle w:val="Para0"/>
              <w:rPr>
                <w:b/>
                <w:bCs/>
              </w:rPr>
            </w:pPr>
          </w:p>
          <w:p w:rsidRPr="00936EE8" w:rsidR="005A2C5A" w:rsidP="003F3C46" w:rsidRDefault="005A2C5A" w14:paraId="60683182" w14:textId="418282FA">
            <w:pPr>
              <w:pStyle w:val="Para0"/>
              <w:rPr>
                <w:color w:val="auto"/>
                <w:lang w:val="en-US"/>
              </w:rPr>
            </w:pPr>
            <w:r w:rsidRPr="002050BF">
              <w:rPr>
                <w:color w:val="auto"/>
                <w:lang w:val="en-US"/>
              </w:rPr>
              <w:t xml:space="preserve">Whilst OECD guidance </w:t>
            </w:r>
            <w:sdt>
              <w:sdtPr>
                <w:rPr>
                  <w:color w:val="auto"/>
                  <w:lang w:val="en-US"/>
                </w:rPr>
                <w:id w:val="1720238938"/>
                <w:citation/>
              </w:sdtPr>
              <w:sdtEndPr/>
              <w:sdtContent>
                <w:r>
                  <w:rPr>
                    <w:color w:val="auto"/>
                    <w:lang w:val="en-US"/>
                  </w:rPr>
                  <w:fldChar w:fldCharType="begin"/>
                </w:r>
                <w:r>
                  <w:rPr>
                    <w:color w:val="auto"/>
                  </w:rPr>
                  <w:instrText xml:space="preserve"> CITATION OEC25 \l 2057 </w:instrText>
                </w:r>
                <w:r>
                  <w:rPr>
                    <w:color w:val="auto"/>
                    <w:lang w:val="en-US"/>
                  </w:rPr>
                  <w:fldChar w:fldCharType="separate"/>
                </w:r>
                <w:r w:rsidRPr="00F86F21" w:rsidR="00F86F21">
                  <w:rPr>
                    <w:noProof/>
                    <w:color w:val="auto"/>
                  </w:rPr>
                  <w:t>(</w:t>
                </w:r>
                <w:bookmarkStart w:name="OEC25_23" w:id="131"/>
                <w:r w:rsidRPr="00F86F21" w:rsidR="00F86F21">
                  <w:rPr>
                    <w:noProof/>
                    <w:color w:val="auto"/>
                  </w:rPr>
                  <w:t>OECD, 2025</w:t>
                </w:r>
                <w:r w:rsidRPr="00F86F21" w:rsidR="00F86F21">
                  <w:rPr>
                    <w:noProof/>
                    <w:color w:val="auto"/>
                    <w:vertAlign w:val="subscript"/>
                  </w:rPr>
                  <w:t>[23]</w:t>
                </w:r>
                <w:r w:rsidRPr="00F86F21" w:rsidR="00F86F21">
                  <w:rPr>
                    <w:noProof/>
                    <w:color w:val="auto"/>
                  </w:rPr>
                  <w:t>)</w:t>
                </w:r>
                <w:bookmarkEnd w:id="131"/>
                <w:r>
                  <w:rPr>
                    <w:color w:val="auto"/>
                    <w:lang w:val="en-US"/>
                  </w:rPr>
                  <w:fldChar w:fldCharType="end"/>
                </w:r>
              </w:sdtContent>
            </w:sdt>
            <w:r>
              <w:rPr>
                <w:color w:val="auto"/>
                <w:lang w:val="en-US"/>
              </w:rPr>
              <w:t xml:space="preserve"> </w:t>
            </w:r>
            <w:r w:rsidRPr="002050BF">
              <w:rPr>
                <w:color w:val="auto"/>
                <w:lang w:val="en-US"/>
              </w:rPr>
              <w:t xml:space="preserve">stresses that risk-based targeting and data sharing are not just technical tools but enablers of responsive, user-centered governance, there are still several technical pre-requisites and implementation </w:t>
            </w:r>
            <w:r>
              <w:rPr>
                <w:color w:val="auto"/>
                <w:lang w:val="en-US"/>
              </w:rPr>
              <w:t>challenges</w:t>
            </w:r>
            <w:r w:rsidRPr="002050BF">
              <w:rPr>
                <w:color w:val="auto"/>
                <w:lang w:val="en-US"/>
              </w:rPr>
              <w:t xml:space="preserve"> to consider. </w:t>
            </w:r>
            <w:r w:rsidRPr="00936EE8">
              <w:rPr>
                <w:color w:val="auto"/>
                <w:lang w:val="en-US"/>
              </w:rPr>
              <w:t>Integrating risk-based delivery</w:t>
            </w:r>
            <w:r w:rsidRPr="002050BF">
              <w:rPr>
                <w:color w:val="auto"/>
                <w:lang w:val="en-US"/>
              </w:rPr>
              <w:t xml:space="preserve"> into the phases of service design and delivery involves</w:t>
            </w:r>
            <w:r w:rsidRPr="00936EE8">
              <w:rPr>
                <w:color w:val="auto"/>
                <w:lang w:val="en-US"/>
              </w:rPr>
              <w:t>:</w:t>
            </w:r>
          </w:p>
          <w:p w:rsidRPr="00936EE8" w:rsidR="005A2C5A" w:rsidP="003F3C46" w:rsidRDefault="005A2C5A" w14:paraId="18401F85" w14:textId="77777777">
            <w:pPr>
              <w:pStyle w:val="Para0"/>
              <w:numPr>
                <w:ilvl w:val="0"/>
                <w:numId w:val="50"/>
              </w:numPr>
              <w:rPr>
                <w:color w:val="auto"/>
                <w:lang w:val="en-US"/>
              </w:rPr>
            </w:pPr>
            <w:r w:rsidRPr="00936EE8">
              <w:rPr>
                <w:b/>
                <w:bCs/>
                <w:color w:val="auto"/>
                <w:lang w:val="en-US"/>
              </w:rPr>
              <w:t>Data integration and analytics</w:t>
            </w:r>
            <w:r w:rsidRPr="00936EE8">
              <w:rPr>
                <w:color w:val="auto"/>
                <w:lang w:val="en-US"/>
              </w:rPr>
              <w:t xml:space="preserve"> to assess probability of error or misuse.</w:t>
            </w:r>
          </w:p>
          <w:p w:rsidRPr="00936EE8" w:rsidR="005A2C5A" w:rsidP="003F3C46" w:rsidRDefault="005A2C5A" w14:paraId="6F05FC3E" w14:textId="77777777">
            <w:pPr>
              <w:pStyle w:val="Para0"/>
              <w:numPr>
                <w:ilvl w:val="0"/>
                <w:numId w:val="50"/>
              </w:numPr>
              <w:rPr>
                <w:color w:val="auto"/>
                <w:lang w:val="en-US"/>
              </w:rPr>
            </w:pPr>
            <w:r w:rsidRPr="00936EE8">
              <w:rPr>
                <w:b/>
                <w:bCs/>
                <w:color w:val="auto"/>
                <w:lang w:val="en-US"/>
              </w:rPr>
              <w:t>Transparent criteria</w:t>
            </w:r>
            <w:r w:rsidRPr="00936EE8">
              <w:rPr>
                <w:color w:val="auto"/>
                <w:lang w:val="en-US"/>
              </w:rPr>
              <w:t xml:space="preserve"> for risk assessment to preserve fairness and accountability.</w:t>
            </w:r>
          </w:p>
          <w:p w:rsidRPr="00936EE8" w:rsidR="005A2C5A" w:rsidP="003F3C46" w:rsidRDefault="005A2C5A" w14:paraId="53AAC8F0" w14:textId="77777777">
            <w:pPr>
              <w:pStyle w:val="Para0"/>
              <w:numPr>
                <w:ilvl w:val="0"/>
                <w:numId w:val="50"/>
              </w:numPr>
              <w:rPr>
                <w:color w:val="auto"/>
                <w:lang w:val="en-US"/>
              </w:rPr>
            </w:pPr>
            <w:r w:rsidRPr="00936EE8">
              <w:rPr>
                <w:b/>
                <w:bCs/>
                <w:color w:val="auto"/>
                <w:lang w:val="en-US"/>
              </w:rPr>
              <w:t>Legal frameworks</w:t>
            </w:r>
            <w:r w:rsidRPr="00936EE8">
              <w:rPr>
                <w:color w:val="auto"/>
                <w:lang w:val="en-US"/>
              </w:rPr>
              <w:t xml:space="preserve"> that permit proportionate verification and data sharing.</w:t>
            </w:r>
          </w:p>
          <w:p w:rsidRPr="00936EE8" w:rsidR="005A2C5A" w:rsidP="003F3C46" w:rsidRDefault="005A2C5A" w14:paraId="59EB871D" w14:textId="77777777">
            <w:pPr>
              <w:pStyle w:val="Para0"/>
              <w:numPr>
                <w:ilvl w:val="0"/>
                <w:numId w:val="50"/>
              </w:numPr>
              <w:rPr>
                <w:color w:val="auto"/>
                <w:lang w:val="en-US"/>
              </w:rPr>
            </w:pPr>
            <w:r w:rsidRPr="00936EE8">
              <w:rPr>
                <w:b/>
                <w:bCs/>
                <w:color w:val="auto"/>
                <w:lang w:val="en-US"/>
              </w:rPr>
              <w:t>Ethical safeguards</w:t>
            </w:r>
            <w:r w:rsidRPr="00936EE8">
              <w:rPr>
                <w:color w:val="auto"/>
                <w:lang w:val="en-US"/>
              </w:rPr>
              <w:t xml:space="preserve"> to prevent algorithmic bias or discrimination.</w:t>
            </w:r>
          </w:p>
          <w:p w:rsidRPr="00936EE8" w:rsidR="005A2C5A" w:rsidP="003F3C46" w:rsidRDefault="005A2C5A" w14:paraId="3BAB3AE7" w14:textId="77777777">
            <w:pPr>
              <w:pStyle w:val="Para0"/>
              <w:numPr>
                <w:ilvl w:val="0"/>
                <w:numId w:val="50"/>
              </w:numPr>
              <w:rPr>
                <w:color w:val="auto"/>
                <w:lang w:val="en-US"/>
              </w:rPr>
            </w:pPr>
            <w:r w:rsidRPr="00936EE8">
              <w:rPr>
                <w:b/>
                <w:bCs/>
                <w:color w:val="auto"/>
                <w:lang w:val="en-US"/>
              </w:rPr>
              <w:t>Skilled administrators</w:t>
            </w:r>
            <w:r w:rsidRPr="00936EE8">
              <w:rPr>
                <w:color w:val="auto"/>
                <w:lang w:val="en-US"/>
              </w:rPr>
              <w:t xml:space="preserve"> capable of interpreting and refining automated decisions.</w:t>
            </w:r>
          </w:p>
          <w:p w:rsidRPr="00775FF9" w:rsidR="005A2C5A" w:rsidP="003F3C46" w:rsidRDefault="005A2C5A" w14:paraId="32FF81D1" w14:textId="77777777">
            <w:pPr>
              <w:pStyle w:val="Para0"/>
            </w:pPr>
            <w:r w:rsidRPr="00B3371B">
              <w:rPr>
                <w:color w:val="auto"/>
                <w:lang w:val="en-US"/>
              </w:rPr>
              <w:t>Related to the above implementation challenges, there are several risks or pitfalls associated with risk-based service design that need to be anticipated and managed, such as an over-reliance on opaque algorithms or poor data quality, which can reduce fairness, and a lack of transparency, which may undermine legitimacy. Furthermore, inconsistent application across government departments and delivery agencies can confuse users. Finally, care needs to be taken around the allocation and of burden and the creation of ‘cliff-edges’ rather than reasoned proportionality - if all burdens are shifted to the “high-risk” group without explanation, perceptions of bias may grow.</w:t>
            </w:r>
          </w:p>
        </w:tc>
      </w:tr>
    </w:tbl>
    <w:p w:rsidRPr="0019621A" w:rsidR="000035C9" w:rsidP="000035C9" w:rsidRDefault="000035C9" w14:paraId="548C6BAD" w14:textId="79194F32">
      <w:pPr>
        <w:pStyle w:val="Para0"/>
        <w:rPr>
          <w:lang w:val="en-US"/>
        </w:rPr>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873B08" w14:paraId="671E525D"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873B08" w:rsidRDefault="00873B08" w14:paraId="4BD8156F" w14:textId="597E5425">
            <w:pPr>
              <w:pStyle w:val="Caption"/>
            </w:pPr>
            <w:bookmarkStart w:name="_Ref215413776" w:id="132"/>
            <w:bookmarkStart w:name="_Toc223413823" w:id="133"/>
            <w:r>
              <w:rPr>
                <w:noProof/>
              </w:rPr>
              <w:drawing>
                <wp:anchor distT="0" distB="0" distL="114300" distR="114300" simplePos="0" relativeHeight="251658271" behindDoc="1" locked="0" layoutInCell="1" allowOverlap="1" wp14:anchorId="5B69A273" wp14:editId="4240EA6E">
                  <wp:simplePos x="0" y="0"/>
                  <wp:positionH relativeFrom="column">
                    <wp:posOffset>4699293</wp:posOffset>
                  </wp:positionH>
                  <wp:positionV relativeFrom="paragraph">
                    <wp:posOffset>123580</wp:posOffset>
                  </wp:positionV>
                  <wp:extent cx="974725" cy="648335"/>
                  <wp:effectExtent l="0" t="0" r="0" b="0"/>
                  <wp:wrapTight wrapText="bothSides">
                    <wp:wrapPolygon edited="0">
                      <wp:start x="0" y="0"/>
                      <wp:lineTo x="0" y="20944"/>
                      <wp:lineTo x="21107" y="20944"/>
                      <wp:lineTo x="21107" y="0"/>
                      <wp:lineTo x="0" y="0"/>
                    </wp:wrapPolygon>
                  </wp:wrapTight>
                  <wp:docPr id="310479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29264"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974725" cy="648335"/>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4</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2</w:t>
            </w:r>
            <w:r>
              <w:rPr>
                <w:noProof/>
              </w:rPr>
              <w:fldChar w:fldCharType="end"/>
            </w:r>
            <w:bookmarkEnd w:id="132"/>
            <w:r>
              <w:t xml:space="preserve">. </w:t>
            </w:r>
            <w:r w:rsidR="00A40062">
              <w:t xml:space="preserve">Spain - </w:t>
            </w:r>
            <w:r>
              <w:t>Simplification initiatives</w:t>
            </w:r>
            <w:bookmarkEnd w:id="133"/>
            <w:r>
              <w:t xml:space="preserve"> </w:t>
            </w:r>
          </w:p>
          <w:p w:rsidRPr="00AB622E" w:rsidR="00873B08" w:rsidP="00873B08" w:rsidRDefault="00873B08" w14:paraId="3EA95E52" w14:textId="376B7232">
            <w:pPr>
              <w:pStyle w:val="Para0"/>
            </w:pPr>
            <w:r w:rsidRPr="00832509">
              <w:rPr>
                <w:b/>
                <w:bCs/>
              </w:rPr>
              <w:t>Spain</w:t>
            </w:r>
            <w:r>
              <w:t xml:space="preserve">’s </w:t>
            </w:r>
            <w:r w:rsidRPr="001C353B">
              <w:rPr>
                <w:i/>
                <w:iCs/>
              </w:rPr>
              <w:t>Simpl</w:t>
            </w:r>
            <w:r>
              <w:rPr>
                <w:i/>
                <w:iCs/>
              </w:rPr>
              <w:t>exESP</w:t>
            </w:r>
            <w:r w:rsidRPr="001C353B">
              <w:rPr>
                <w:i/>
                <w:iCs/>
              </w:rPr>
              <w:t xml:space="preserve"> </w:t>
            </w:r>
            <w:r>
              <w:t xml:space="preserve">initiative is a government-wide ongoing programme which aims at simplifying administrative procedures and making interactions with the public more agile and user-centred. Inspired by the Portuguese Simplex initiative, the platform seeks </w:t>
            </w:r>
            <w:r w:rsidR="00DA1239">
              <w:t xml:space="preserve">to </w:t>
            </w:r>
            <w:r>
              <w:t xml:space="preserve">allow for feedback and higher visibility, identifying burdensome processes, redesign them with a focus on zero bureaucracy and to deliver quick and visible improvement for citizens. By using co-design, regulatory streamlining, the Spanish </w:t>
            </w:r>
            <w:r w:rsidRPr="00B711B8">
              <w:rPr>
                <w:i/>
              </w:rPr>
              <w:t>SimplexESP</w:t>
            </w:r>
            <w:r>
              <w:rPr>
                <w:i/>
                <w:iCs/>
              </w:rPr>
              <w:t xml:space="preserve"> </w:t>
            </w:r>
            <w:r w:rsidRPr="00D044C7">
              <w:t>seeks to show</w:t>
            </w:r>
            <w:r>
              <w:t xml:space="preserve"> how coordinated simplification can raise service quality and reduce administrative burden. </w:t>
            </w:r>
          </w:p>
          <w:p w:rsidRPr="00864412" w:rsidR="00873B08" w:rsidP="00873B08" w:rsidRDefault="00873B08" w14:paraId="029454DF" w14:textId="77777777">
            <w:pPr>
              <w:pStyle w:val="Para0"/>
              <w:rPr>
                <w:b/>
                <w:bCs/>
                <w:lang w:val="en-US"/>
              </w:rPr>
            </w:pPr>
            <w:r>
              <w:rPr>
                <w:b/>
                <w:bCs/>
                <w:lang w:val="en-US"/>
              </w:rPr>
              <w:t>Good practices summary:</w:t>
            </w:r>
          </w:p>
          <w:p w:rsidRPr="00864412" w:rsidR="00873B08" w:rsidP="00873B08" w:rsidRDefault="00873B08" w14:paraId="0F88A3C4" w14:textId="5C690220">
            <w:pPr>
              <w:pStyle w:val="BulletedList"/>
              <w:rPr>
                <w:lang w:val="en-US"/>
              </w:rPr>
            </w:pPr>
            <w:r w:rsidRPr="00832509">
              <w:rPr>
                <w:b/>
                <w:bCs/>
                <w:lang w:val="en-US"/>
              </w:rPr>
              <w:t>Review and eliminate</w:t>
            </w:r>
            <w:r>
              <w:rPr>
                <w:lang w:val="en-US"/>
              </w:rPr>
              <w:t xml:space="preserve"> unnecessary administrative steps across agencies.</w:t>
            </w:r>
          </w:p>
          <w:p w:rsidRPr="00864412" w:rsidR="00873B08" w:rsidP="00873B08" w:rsidRDefault="00873B08" w14:paraId="07FF44E4" w14:textId="43837D36">
            <w:pPr>
              <w:pStyle w:val="BulletedList"/>
              <w:rPr>
                <w:lang w:val="en-US"/>
              </w:rPr>
            </w:pPr>
            <w:r w:rsidRPr="00832509">
              <w:rPr>
                <w:b/>
                <w:bCs/>
                <w:lang w:val="en-US"/>
              </w:rPr>
              <w:t>Coordinate</w:t>
            </w:r>
            <w:r>
              <w:rPr>
                <w:lang w:val="en-US"/>
              </w:rPr>
              <w:t xml:space="preserve"> multiple stakeholders around shared simplification goals. </w:t>
            </w:r>
          </w:p>
          <w:p w:rsidRPr="00864412" w:rsidR="00873B08" w:rsidP="00873B08" w:rsidRDefault="00873B08" w14:paraId="67028929" w14:textId="26675690">
            <w:pPr>
              <w:pStyle w:val="BulletedList"/>
              <w:rPr>
                <w:lang w:val="en-US"/>
              </w:rPr>
            </w:pPr>
            <w:r w:rsidRPr="00832509">
              <w:rPr>
                <w:b/>
                <w:bCs/>
                <w:lang w:val="en-US"/>
              </w:rPr>
              <w:t>Use user-feedback and co-design</w:t>
            </w:r>
            <w:r>
              <w:rPr>
                <w:lang w:val="en-US"/>
              </w:rPr>
              <w:t xml:space="preserve"> to identify pain points in services. </w:t>
            </w:r>
          </w:p>
          <w:p w:rsidRPr="00FA5D77" w:rsidR="00873B08" w:rsidP="00873B08" w:rsidRDefault="00873B08" w14:paraId="6754DBC9" w14:textId="77777777">
            <w:pPr>
              <w:pStyle w:val="BulletedList"/>
              <w:rPr>
                <w:lang w:val="en-US"/>
              </w:rPr>
            </w:pPr>
            <w:r w:rsidRPr="00832509">
              <w:rPr>
                <w:b/>
                <w:bCs/>
                <w:lang w:val="en-US"/>
              </w:rPr>
              <w:t>Use iterative testing</w:t>
            </w:r>
            <w:r w:rsidRPr="00864412">
              <w:rPr>
                <w:lang w:val="en-US"/>
              </w:rPr>
              <w:t xml:space="preserve"> with diverse groups, especially those with amplified needs.</w:t>
            </w:r>
          </w:p>
          <w:p w:rsidRPr="00775FF9" w:rsidR="00873B08" w:rsidRDefault="00873B08" w14:paraId="62B57A36" w14:textId="3F2B62C8">
            <w:pPr>
              <w:pStyle w:val="Sourcenotes"/>
            </w:pPr>
            <w:r>
              <w:t>Source: Data gathered through TSI Mission in Spain in March 2025</w:t>
            </w:r>
            <w:r w:rsidR="009352F1">
              <w:t>.</w:t>
            </w:r>
          </w:p>
        </w:tc>
      </w:tr>
    </w:tbl>
    <w:p w:rsidR="00873B08" w:rsidP="00873B08" w:rsidRDefault="00873B08" w14:paraId="774AEF31" w14:textId="18B95250">
      <w:pPr>
        <w:pStyle w:val="Para0"/>
        <w:rPr>
          <w:lang w:val="en-US"/>
        </w:rPr>
      </w:pPr>
      <w:r>
        <w:rPr>
          <w:lang w:val="en-US"/>
        </w:rPr>
        <w:t xml:space="preserve">Slovenia has developed a platform and </w:t>
      </w:r>
      <w:r w:rsidR="009352F1">
        <w:rPr>
          <w:lang w:val="en-US"/>
        </w:rPr>
        <w:t>initiative</w:t>
      </w:r>
      <w:r>
        <w:rPr>
          <w:lang w:val="en-US"/>
        </w:rPr>
        <w:t xml:space="preserve"> </w:t>
      </w:r>
      <w:r w:rsidR="009352F1">
        <w:rPr>
          <w:lang w:val="en-US"/>
        </w:rPr>
        <w:t>‘</w:t>
      </w:r>
      <w:r>
        <w:rPr>
          <w:lang w:val="en-US"/>
        </w:rPr>
        <w:t>Stop Bureaucracy</w:t>
      </w:r>
      <w:r w:rsidR="009352F1">
        <w:rPr>
          <w:lang w:val="en-US"/>
        </w:rPr>
        <w:t>’</w:t>
      </w:r>
      <w:r>
        <w:rPr>
          <w:lang w:val="en-US"/>
        </w:rPr>
        <w:t xml:space="preserve"> in a nationwide effort to encourage simplification across all sectors</w:t>
      </w:r>
      <w:r w:rsidR="00915480">
        <w:rPr>
          <w:lang w:val="en-US"/>
        </w:rPr>
        <w:t xml:space="preserve"> (</w:t>
      </w:r>
      <w:r w:rsidR="00915480">
        <w:rPr>
          <w:lang w:val="en-US"/>
        </w:rPr>
        <w:fldChar w:fldCharType="begin"/>
      </w:r>
      <w:r w:rsidR="00915480">
        <w:rPr>
          <w:lang w:val="en-US"/>
        </w:rPr>
        <w:instrText xml:space="preserve"> REF _Ref215413971 \h </w:instrText>
      </w:r>
      <w:r w:rsidR="00915480">
        <w:rPr>
          <w:lang w:val="en-US"/>
        </w:rPr>
      </w:r>
      <w:r w:rsidR="00915480">
        <w:rPr>
          <w:lang w:val="en-US"/>
        </w:rPr>
        <w:fldChar w:fldCharType="separate"/>
      </w:r>
      <w:r w:rsidRPr="00B44A50" w:rsidR="00543B3D">
        <w:t>Box</w:t>
      </w:r>
      <w:r w:rsidR="00543B3D">
        <w:t> </w:t>
      </w:r>
      <w:r w:rsidR="00543B3D">
        <w:rPr>
          <w:noProof/>
        </w:rPr>
        <w:t>4</w:t>
      </w:r>
      <w:r w:rsidR="00543B3D">
        <w:t>.</w:t>
      </w:r>
      <w:r w:rsidR="00543B3D">
        <w:rPr>
          <w:noProof/>
        </w:rPr>
        <w:t>3</w:t>
      </w:r>
      <w:r w:rsidR="00915480">
        <w:rPr>
          <w:lang w:val="en-US"/>
        </w:rPr>
        <w:fldChar w:fldCharType="end"/>
      </w:r>
      <w:r w:rsidR="00915480">
        <w:rPr>
          <w:lang w:val="en-US"/>
        </w:rPr>
        <w:t>)</w:t>
      </w:r>
      <w:r>
        <w:rPr>
          <w:lang w:val="en-US"/>
        </w:rPr>
        <w:t>.</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873B08" w14:paraId="413AE2EB"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873B08" w:rsidRDefault="00873B08" w14:paraId="6CF49C1D" w14:textId="7677D7C8">
            <w:pPr>
              <w:pStyle w:val="Caption"/>
            </w:pPr>
            <w:bookmarkStart w:name="_Ref215413971" w:id="134"/>
            <w:bookmarkStart w:name="_Toc223413824" w:id="135"/>
            <w:r w:rsidRPr="00E30FFF">
              <w:rPr>
                <w:noProof/>
              </w:rPr>
              <w:drawing>
                <wp:anchor distT="0" distB="0" distL="114300" distR="114300" simplePos="0" relativeHeight="251658272" behindDoc="1" locked="0" layoutInCell="1" allowOverlap="1" wp14:anchorId="535675DD" wp14:editId="19191A6D">
                  <wp:simplePos x="0" y="0"/>
                  <wp:positionH relativeFrom="column">
                    <wp:posOffset>4537514</wp:posOffset>
                  </wp:positionH>
                  <wp:positionV relativeFrom="paragraph">
                    <wp:posOffset>81378</wp:posOffset>
                  </wp:positionV>
                  <wp:extent cx="1083310" cy="541655"/>
                  <wp:effectExtent l="0" t="0" r="2540" b="0"/>
                  <wp:wrapTight wrapText="bothSides">
                    <wp:wrapPolygon edited="0">
                      <wp:start x="0" y="0"/>
                      <wp:lineTo x="0" y="20511"/>
                      <wp:lineTo x="21271" y="20511"/>
                      <wp:lineTo x="21271" y="0"/>
                      <wp:lineTo x="0" y="0"/>
                    </wp:wrapPolygon>
                  </wp:wrapTight>
                  <wp:docPr id="2144659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173809"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83310" cy="541655"/>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4</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3</w:t>
            </w:r>
            <w:r>
              <w:rPr>
                <w:noProof/>
              </w:rPr>
              <w:fldChar w:fldCharType="end"/>
            </w:r>
            <w:bookmarkEnd w:id="134"/>
            <w:r>
              <w:t>. Slovenia</w:t>
            </w:r>
            <w:r w:rsidR="00A40062">
              <w:t xml:space="preserve"> - </w:t>
            </w:r>
            <w:r>
              <w:t>‘Stop Bureaucracy’ Portal</w:t>
            </w:r>
            <w:bookmarkEnd w:id="135"/>
            <w:r>
              <w:t xml:space="preserve"> </w:t>
            </w:r>
          </w:p>
          <w:p w:rsidR="00873B08" w:rsidP="00873B08" w:rsidRDefault="00873B08" w14:paraId="69284A08" w14:textId="5A47EA58">
            <w:pPr>
              <w:pStyle w:val="Para0"/>
              <w:rPr>
                <w:i/>
                <w:iCs/>
              </w:rPr>
            </w:pPr>
            <w:r w:rsidRPr="00832509">
              <w:rPr>
                <w:b/>
                <w:bCs/>
              </w:rPr>
              <w:t>Slovenia</w:t>
            </w:r>
            <w:r>
              <w:t xml:space="preserve">’s </w:t>
            </w:r>
            <w:r w:rsidRPr="00836B93">
              <w:rPr>
                <w:i/>
                <w:iCs/>
              </w:rPr>
              <w:t>Stop Bureaucracy portal</w:t>
            </w:r>
            <w:r>
              <w:t xml:space="preserve"> is a public platform that allows citizens and businesses to report administrative burdens, submit proposals for simplification, and track the government’s response. It institutionalises users’ feedback, strengthens accountability, and turn</w:t>
            </w:r>
            <w:r w:rsidR="00D05286">
              <w:t>s</w:t>
            </w:r>
            <w:r>
              <w:t xml:space="preserve"> citizens into active contributors to administrative reform. By making simplification transparent and participatory, the portal promotes trust and continuous improvement in public services. </w:t>
            </w:r>
          </w:p>
          <w:p w:rsidRPr="00864412" w:rsidR="00873B08" w:rsidP="00873B08" w:rsidRDefault="00873B08" w14:paraId="49AD0958" w14:textId="77777777">
            <w:pPr>
              <w:pStyle w:val="Para0"/>
              <w:rPr>
                <w:b/>
                <w:bCs/>
                <w:lang w:val="en-US"/>
              </w:rPr>
            </w:pPr>
            <w:r>
              <w:rPr>
                <w:b/>
                <w:bCs/>
                <w:lang w:val="en-US"/>
              </w:rPr>
              <w:t>Good practices summary:</w:t>
            </w:r>
          </w:p>
          <w:p w:rsidR="00873B08" w:rsidP="00873B08" w:rsidRDefault="00873B08" w14:paraId="0E4C5927" w14:textId="657092E6">
            <w:pPr>
              <w:pStyle w:val="BulletedList"/>
              <w:rPr>
                <w:lang w:val="en-US"/>
              </w:rPr>
            </w:pPr>
            <w:r w:rsidRPr="00832509">
              <w:rPr>
                <w:b/>
                <w:bCs/>
                <w:lang w:val="en-US"/>
              </w:rPr>
              <w:t>Collect citizen and business proposals</w:t>
            </w:r>
            <w:r>
              <w:rPr>
                <w:lang w:val="en-US"/>
              </w:rPr>
              <w:t xml:space="preserve"> to simplify administrative procedures. </w:t>
            </w:r>
          </w:p>
          <w:p w:rsidRPr="00864412" w:rsidR="00873B08" w:rsidP="00873B08" w:rsidRDefault="00873B08" w14:paraId="2204DB07" w14:textId="2AC0716D">
            <w:pPr>
              <w:pStyle w:val="BulletedList"/>
              <w:rPr>
                <w:lang w:val="en-US"/>
              </w:rPr>
            </w:pPr>
            <w:r w:rsidRPr="00832509">
              <w:rPr>
                <w:b/>
                <w:bCs/>
                <w:lang w:val="en-US"/>
              </w:rPr>
              <w:t>Provide tools to report</w:t>
            </w:r>
            <w:r>
              <w:rPr>
                <w:lang w:val="en-US"/>
              </w:rPr>
              <w:t xml:space="preserve"> unnecessary requirements or bureaucratic obstacles.</w:t>
            </w:r>
          </w:p>
          <w:p w:rsidRPr="00873B08" w:rsidR="00873B08" w:rsidP="00873B08" w:rsidRDefault="00873B08" w14:paraId="61CCF15B" w14:textId="33CC1D58">
            <w:pPr>
              <w:pStyle w:val="BulletedList"/>
            </w:pPr>
            <w:r w:rsidRPr="00832509">
              <w:rPr>
                <w:b/>
                <w:bCs/>
                <w:lang w:val="en-US"/>
              </w:rPr>
              <w:t>Promote a culture of continuous administrative improvement</w:t>
            </w:r>
            <w:r>
              <w:rPr>
                <w:lang w:val="en-US"/>
              </w:rPr>
              <w:t xml:space="preserve">. </w:t>
            </w:r>
          </w:p>
          <w:p w:rsidRPr="00873B08" w:rsidR="00873B08" w:rsidP="00873B08" w:rsidRDefault="00873B08" w14:paraId="389FFCBA" w14:textId="388E7C08">
            <w:pPr>
              <w:pStyle w:val="BulletedList"/>
            </w:pPr>
            <w:r w:rsidRPr="00832509">
              <w:rPr>
                <w:b/>
                <w:bCs/>
                <w:lang w:val="en-US"/>
              </w:rPr>
              <w:t>Serve as collaboration channel</w:t>
            </w:r>
            <w:r>
              <w:rPr>
                <w:lang w:val="en-US"/>
              </w:rPr>
              <w:t xml:space="preserve"> between government and users.</w:t>
            </w:r>
          </w:p>
          <w:p w:rsidRPr="00775FF9" w:rsidR="00873B08" w:rsidP="00873B08" w:rsidRDefault="00873B08" w14:paraId="6E4AA8CE" w14:textId="221A4C52">
            <w:pPr>
              <w:pStyle w:val="BulletedList"/>
              <w:numPr>
                <w:ilvl w:val="0"/>
                <w:numId w:val="0"/>
              </w:numPr>
            </w:pPr>
            <w:r w:rsidRPr="00873B08">
              <w:rPr>
                <w:sz w:val="16"/>
                <w:szCs w:val="18"/>
              </w:rPr>
              <w:t xml:space="preserve">Source: Data gathered through TSI Mission in </w:t>
            </w:r>
            <w:r>
              <w:rPr>
                <w:sz w:val="16"/>
                <w:szCs w:val="18"/>
              </w:rPr>
              <w:t>Slovenia</w:t>
            </w:r>
            <w:r w:rsidRPr="00873B08">
              <w:rPr>
                <w:sz w:val="16"/>
                <w:szCs w:val="18"/>
              </w:rPr>
              <w:t xml:space="preserve"> in</w:t>
            </w:r>
            <w:r>
              <w:rPr>
                <w:sz w:val="16"/>
                <w:szCs w:val="18"/>
              </w:rPr>
              <w:t xml:space="preserve"> June</w:t>
            </w:r>
            <w:r w:rsidRPr="00873B08">
              <w:rPr>
                <w:sz w:val="16"/>
                <w:szCs w:val="18"/>
              </w:rPr>
              <w:t xml:space="preserve"> 2025</w:t>
            </w:r>
            <w:r w:rsidR="00BC39AD">
              <w:rPr>
                <w:sz w:val="16"/>
                <w:szCs w:val="18"/>
              </w:rPr>
              <w:t>.</w:t>
            </w:r>
          </w:p>
        </w:tc>
      </w:tr>
    </w:tbl>
    <w:p w:rsidR="00C80101" w:rsidP="00C80101" w:rsidRDefault="00C80101" w14:paraId="3082B585" w14:textId="77777777">
      <w:pPr>
        <w:pStyle w:val="BulletedList"/>
        <w:numPr>
          <w:ilvl w:val="0"/>
          <w:numId w:val="0"/>
        </w:numPr>
        <w:rPr>
          <w:b/>
          <w:bCs/>
          <w:lang w:val="en-US"/>
        </w:rPr>
      </w:pPr>
    </w:p>
    <w:p w:rsidR="00C80101" w:rsidP="00C80101" w:rsidRDefault="00915480" w14:paraId="5E721BDE" w14:textId="30538F6A">
      <w:pPr>
        <w:pStyle w:val="BulletedList"/>
        <w:numPr>
          <w:ilvl w:val="0"/>
          <w:numId w:val="0"/>
        </w:numPr>
        <w:rPr>
          <w:lang w:val="en-US"/>
        </w:rPr>
      </w:pPr>
      <w:r w:rsidRPr="00832509">
        <w:rPr>
          <w:b/>
          <w:bCs/>
          <w:lang w:val="en-US"/>
        </w:rPr>
        <w:t>More specifically on services, countries in the TSI Project have been using a wide range of practices and instruments to work on simplifying services and procedures.</w:t>
      </w:r>
      <w:r>
        <w:rPr>
          <w:lang w:val="en-US"/>
        </w:rPr>
        <w:t xml:space="preserve"> </w:t>
      </w:r>
      <w:r w:rsidR="00506300">
        <w:rPr>
          <w:lang w:val="en-US"/>
        </w:rPr>
        <w:t xml:space="preserve">For instance, </w:t>
      </w:r>
      <w:r>
        <w:rPr>
          <w:lang w:val="en-US"/>
        </w:rPr>
        <w:t>Estonia has aimed to embed the principle of simplification into public service design and used it to simplify multiple services</w:t>
      </w:r>
      <w:r w:rsidR="00C036C6">
        <w:rPr>
          <w:lang w:val="en-US"/>
        </w:rPr>
        <w:t xml:space="preserve"> (</w:t>
      </w:r>
      <w:r w:rsidR="00C036C6">
        <w:rPr>
          <w:lang w:val="en-US"/>
        </w:rPr>
        <w:fldChar w:fldCharType="begin"/>
      </w:r>
      <w:r w:rsidR="00C036C6">
        <w:rPr>
          <w:lang w:val="en-US"/>
        </w:rPr>
        <w:instrText xml:space="preserve"> REF _Ref215414109 \h </w:instrText>
      </w:r>
      <w:r w:rsidR="00C036C6">
        <w:rPr>
          <w:lang w:val="en-US"/>
        </w:rPr>
      </w:r>
      <w:r w:rsidR="00C036C6">
        <w:rPr>
          <w:lang w:val="en-US"/>
        </w:rPr>
        <w:fldChar w:fldCharType="separate"/>
      </w:r>
      <w:r w:rsidRPr="00B44A50" w:rsidR="00543B3D">
        <w:t>Box</w:t>
      </w:r>
      <w:r w:rsidR="00543B3D">
        <w:t> </w:t>
      </w:r>
      <w:r w:rsidR="00543B3D">
        <w:rPr>
          <w:noProof/>
        </w:rPr>
        <w:t>4</w:t>
      </w:r>
      <w:r w:rsidR="00543B3D">
        <w:t>.</w:t>
      </w:r>
      <w:r w:rsidR="00543B3D">
        <w:rPr>
          <w:noProof/>
        </w:rPr>
        <w:t>4</w:t>
      </w:r>
      <w:r w:rsidR="00C036C6">
        <w:rPr>
          <w:lang w:val="en-US"/>
        </w:rPr>
        <w:fldChar w:fldCharType="end"/>
      </w:r>
      <w:r w:rsidR="00C036C6">
        <w:rPr>
          <w:lang w:val="en-US"/>
        </w:rPr>
        <w:t>)</w:t>
      </w:r>
      <w:r>
        <w:rPr>
          <w:lang w:val="en-US"/>
        </w:rPr>
        <w:t xml:space="preserve">. </w:t>
      </w:r>
      <w:r w:rsidR="00C80101">
        <w:rPr>
          <w:lang w:val="en-US"/>
        </w:rPr>
        <w:t>Ireland has leveraged its Life Event approach to simplify services (</w:t>
      </w:r>
      <w:r w:rsidR="00C80101">
        <w:rPr>
          <w:lang w:val="en-US"/>
        </w:rPr>
        <w:fldChar w:fldCharType="begin"/>
      </w:r>
      <w:r w:rsidR="00C80101">
        <w:rPr>
          <w:lang w:val="en-US"/>
        </w:rPr>
        <w:instrText xml:space="preserve"> REF _Ref215525551 \h </w:instrText>
      </w:r>
      <w:r w:rsidR="00C80101">
        <w:rPr>
          <w:lang w:val="en-US"/>
        </w:rPr>
      </w:r>
      <w:r w:rsidR="00C80101">
        <w:rPr>
          <w:lang w:val="en-US"/>
        </w:rPr>
        <w:fldChar w:fldCharType="separate"/>
      </w:r>
      <w:r w:rsidRPr="00B44A50" w:rsidR="00543B3D">
        <w:t>Box</w:t>
      </w:r>
      <w:r w:rsidR="00543B3D">
        <w:t> </w:t>
      </w:r>
      <w:r w:rsidR="00543B3D">
        <w:rPr>
          <w:noProof/>
        </w:rPr>
        <w:t>4</w:t>
      </w:r>
      <w:r w:rsidR="00543B3D">
        <w:t>.</w:t>
      </w:r>
      <w:r w:rsidR="00543B3D">
        <w:rPr>
          <w:noProof/>
        </w:rPr>
        <w:t>5</w:t>
      </w:r>
      <w:r w:rsidR="00C80101">
        <w:rPr>
          <w:lang w:val="en-US"/>
        </w:rPr>
        <w:fldChar w:fldCharType="end"/>
      </w:r>
      <w:r w:rsidR="00C80101">
        <w:rPr>
          <w:lang w:val="en-US"/>
        </w:rPr>
        <w:t>). Lithuania has applied to a specific Life Event and services around tax (</w:t>
      </w:r>
      <w:r w:rsidR="00C80101">
        <w:rPr>
          <w:lang w:val="en-US"/>
        </w:rPr>
        <w:fldChar w:fldCharType="begin"/>
      </w:r>
      <w:r w:rsidR="00C80101">
        <w:rPr>
          <w:lang w:val="en-US"/>
        </w:rPr>
        <w:instrText xml:space="preserve"> REF _Ref215525582 \h </w:instrText>
      </w:r>
      <w:r w:rsidR="00C80101">
        <w:rPr>
          <w:lang w:val="en-US"/>
        </w:rPr>
      </w:r>
      <w:r w:rsidR="00C80101">
        <w:rPr>
          <w:lang w:val="en-US"/>
        </w:rPr>
        <w:fldChar w:fldCharType="separate"/>
      </w:r>
      <w:r w:rsidRPr="00B44A50" w:rsidR="00543B3D">
        <w:t>Box</w:t>
      </w:r>
      <w:r w:rsidR="00543B3D">
        <w:t> </w:t>
      </w:r>
      <w:r w:rsidR="00543B3D">
        <w:rPr>
          <w:noProof/>
        </w:rPr>
        <w:t>4</w:t>
      </w:r>
      <w:r w:rsidR="00543B3D">
        <w:t>.</w:t>
      </w:r>
      <w:r w:rsidR="00543B3D">
        <w:rPr>
          <w:noProof/>
        </w:rPr>
        <w:t>6</w:t>
      </w:r>
      <w:r w:rsidR="00C80101">
        <w:rPr>
          <w:lang w:val="en-US"/>
        </w:rPr>
        <w:fldChar w:fldCharType="end"/>
      </w:r>
      <w:r w:rsidR="00C80101">
        <w:rPr>
          <w:lang w:val="en-US"/>
        </w:rPr>
        <w:t>).</w:t>
      </w:r>
    </w:p>
    <w:p w:rsidR="00C80101" w:rsidP="00C80101" w:rsidRDefault="00C80101" w14:paraId="4E703A2C" w14:textId="77777777">
      <w:pPr>
        <w:pStyle w:val="BulletedList"/>
        <w:numPr>
          <w:ilvl w:val="0"/>
          <w:numId w:val="0"/>
        </w:numPr>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3F0EBE" w14:paraId="7D955D4D"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3F0EBE" w:rsidRDefault="003F0EBE" w14:paraId="29D22940" w14:textId="07EBFB57">
            <w:pPr>
              <w:pStyle w:val="Caption"/>
            </w:pPr>
            <w:bookmarkStart w:name="_Ref215414109" w:id="136"/>
            <w:bookmarkStart w:name="_Toc223413825" w:id="137"/>
            <w:r>
              <w:rPr>
                <w:noProof/>
              </w:rPr>
              <w:drawing>
                <wp:anchor distT="0" distB="0" distL="114300" distR="114300" simplePos="0" relativeHeight="251658250" behindDoc="1" locked="0" layoutInCell="1" allowOverlap="1" wp14:anchorId="7C1AFB4A" wp14:editId="6C8AD6B5">
                  <wp:simplePos x="0" y="0"/>
                  <wp:positionH relativeFrom="column">
                    <wp:posOffset>4756150</wp:posOffset>
                  </wp:positionH>
                  <wp:positionV relativeFrom="paragraph">
                    <wp:posOffset>53340</wp:posOffset>
                  </wp:positionV>
                  <wp:extent cx="1009015" cy="641350"/>
                  <wp:effectExtent l="0" t="0" r="635" b="6350"/>
                  <wp:wrapTight wrapText="bothSides">
                    <wp:wrapPolygon edited="0">
                      <wp:start x="0" y="0"/>
                      <wp:lineTo x="0" y="21172"/>
                      <wp:lineTo x="21206" y="21172"/>
                      <wp:lineTo x="21206" y="0"/>
                      <wp:lineTo x="0" y="0"/>
                    </wp:wrapPolygon>
                  </wp:wrapTight>
                  <wp:docPr id="1930039479" name="Picture 1" descr="A blue and black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12193" name="Picture 1" descr="A blue and black flag&#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09015" cy="641350"/>
                          </a:xfrm>
                          <a:prstGeom prst="rect">
                            <a:avLst/>
                          </a:prstGeom>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4</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4</w:t>
            </w:r>
            <w:r>
              <w:rPr>
                <w:noProof/>
              </w:rPr>
              <w:fldChar w:fldCharType="end"/>
            </w:r>
            <w:bookmarkEnd w:id="136"/>
            <w:r>
              <w:t xml:space="preserve">. </w:t>
            </w:r>
            <w:r w:rsidR="00A40062">
              <w:t xml:space="preserve">Estonia - </w:t>
            </w:r>
            <w:r>
              <w:t>Learning from Estonia’s strategy to embed simplicity in public service design</w:t>
            </w:r>
            <w:bookmarkEnd w:id="137"/>
          </w:p>
          <w:p w:rsidR="003F0EBE" w:rsidP="003F0EBE" w:rsidRDefault="003F0EBE" w14:paraId="18FF4C9F" w14:textId="65A1BBA1">
            <w:pPr>
              <w:pStyle w:val="Para0"/>
            </w:pPr>
            <w:r w:rsidRPr="00832509">
              <w:rPr>
                <w:b/>
                <w:bCs/>
              </w:rPr>
              <w:t>Estonia</w:t>
            </w:r>
            <w:r w:rsidRPr="00F802E8">
              <w:t xml:space="preserve"> simplifies services by designing them to require as few actions as possible from citizens, supported by deep back-office integration. The once-only principle and X-Road data exchange mean users rarely re-enter information; most forms arrive pre-filled. A single state portal (</w:t>
            </w:r>
            <w:hyperlink w:history="1" r:id="rId80">
              <w:r w:rsidRPr="002F2B53">
                <w:rPr>
                  <w:rStyle w:val="Hyperlink"/>
                </w:rPr>
                <w:t>www.eesti.ee</w:t>
              </w:r>
            </w:hyperlink>
            <w:r w:rsidRPr="00F802E8">
              <w:t>) provides one consistent entry point, reducing channel and navigation noise. Estonia also organises services by life events (Having a baby, Death of a relative) rather than by ministry, meaning citizens see a small, logical set of steps rather than multiple institutional processes. Proactive services, like automatic family benefits after birth registration, eliminate entire transactions.</w:t>
            </w:r>
            <w:r>
              <w:t xml:space="preserve"> </w:t>
            </w:r>
          </w:p>
          <w:p w:rsidR="003F0EBE" w:rsidP="003F0EBE" w:rsidRDefault="003F0EBE" w14:paraId="152B1CA6" w14:textId="4A077CF2">
            <w:pPr>
              <w:pStyle w:val="Para0"/>
            </w:pPr>
            <w:r>
              <w:t>Further examples of simplified services include: tax returns, which are typically completed in minutes because income data is pre-populated by employers and banks; childbirth services, where birth registration triggers pre-offers of benefits and parent</w:t>
            </w:r>
            <w:r w:rsidR="00C80101">
              <w:t>s</w:t>
            </w:r>
            <w:r>
              <w:t xml:space="preserve"> are required only to confirm; business creation, which is an online single-step registration leveraging shared registries; and driving license renewal, which is based on a pre-filled application, standardised across agencies and full</w:t>
            </w:r>
            <w:r w:rsidR="00C80101">
              <w:t>y</w:t>
            </w:r>
            <w:r>
              <w:t xml:space="preserve"> digitalised. </w:t>
            </w:r>
          </w:p>
          <w:p w:rsidRPr="00F802E8" w:rsidR="003F0EBE" w:rsidP="003F0EBE" w:rsidRDefault="003F0EBE" w14:paraId="31F6B837" w14:textId="77777777">
            <w:pPr>
              <w:pStyle w:val="Para0"/>
            </w:pPr>
            <w:r>
              <w:t>The key tools underpinning Estonia’s simple services agenda include X-Road, Digital ID / e-Signature, life-event service design, design systems and common components (to avoid interface reinvention), and the RIHA (registry of information systems).</w:t>
            </w:r>
          </w:p>
          <w:p w:rsidRPr="00775FF9" w:rsidR="003F0EBE" w:rsidP="003F0EBE" w:rsidRDefault="003F0EBE" w14:paraId="0D3D23DC" w14:textId="4B77DF42">
            <w:pPr>
              <w:pStyle w:val="Sourcenotes"/>
            </w:pPr>
            <w:r>
              <w:t>Source</w:t>
            </w:r>
            <w:r w:rsidR="005C0094">
              <w:t>: Data collected through TSI Country Mission to Estonia, October 2025</w:t>
            </w:r>
            <w:r w:rsidR="000A2FEF">
              <w:t>.</w:t>
            </w:r>
          </w:p>
        </w:tc>
      </w:tr>
    </w:tbl>
    <w:p w:rsidR="00C036C6" w:rsidP="00EB563B" w:rsidRDefault="00C036C6" w14:paraId="6A1FB3F4" w14:textId="77777777">
      <w:pPr>
        <w:pStyle w:val="BulletedList"/>
        <w:numPr>
          <w:ilvl w:val="0"/>
          <w:numId w:val="0"/>
        </w:numPr>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1627F0" w14:paraId="16F19DE0"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1627F0" w:rsidRDefault="005C0094" w14:paraId="14436C0B" w14:textId="10BA3D40">
            <w:pPr>
              <w:pStyle w:val="Caption"/>
            </w:pPr>
            <w:bookmarkStart w:name="_Ref215525551" w:id="138"/>
            <w:bookmarkStart w:name="_Toc223413826" w:id="139"/>
            <w:r>
              <w:rPr>
                <w:noProof/>
              </w:rPr>
              <w:drawing>
                <wp:anchor distT="0" distB="0" distL="114300" distR="114300" simplePos="0" relativeHeight="251658273" behindDoc="0" locked="0" layoutInCell="1" allowOverlap="1" wp14:anchorId="4204B929" wp14:editId="27C052C0">
                  <wp:simplePos x="0" y="0"/>
                  <wp:positionH relativeFrom="column">
                    <wp:posOffset>4685225</wp:posOffset>
                  </wp:positionH>
                  <wp:positionV relativeFrom="paragraph">
                    <wp:posOffset>130419</wp:posOffset>
                  </wp:positionV>
                  <wp:extent cx="930303" cy="465152"/>
                  <wp:effectExtent l="0" t="0" r="3175" b="0"/>
                  <wp:wrapNone/>
                  <wp:docPr id="109065045" name="Picture 1" descr="A flag of ireland with a white green and orange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87553" name="Picture 1" descr="A flag of ireland with a white green and orange stripe&#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30303" cy="4651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4A50" w:rsidR="001627F0">
              <w:t>Box</w:t>
            </w:r>
            <w:r w:rsidR="001627F0">
              <w:t> </w:t>
            </w:r>
            <w:r w:rsidR="001627F0">
              <w:rPr>
                <w:noProof/>
              </w:rPr>
              <w:fldChar w:fldCharType="begin"/>
            </w:r>
            <w:r w:rsidR="001627F0">
              <w:rPr>
                <w:noProof/>
              </w:rPr>
              <w:instrText xml:space="preserve"> STYLEREF 1 \s </w:instrText>
            </w:r>
            <w:r w:rsidR="001627F0">
              <w:rPr>
                <w:noProof/>
              </w:rPr>
              <w:fldChar w:fldCharType="separate"/>
            </w:r>
            <w:r w:rsidR="00543B3D">
              <w:rPr>
                <w:noProof/>
              </w:rPr>
              <w:t>4</w:t>
            </w:r>
            <w:r w:rsidR="001627F0">
              <w:rPr>
                <w:noProof/>
              </w:rPr>
              <w:fldChar w:fldCharType="end"/>
            </w:r>
            <w:r w:rsidR="001627F0">
              <w:t>.</w:t>
            </w:r>
            <w:r w:rsidR="001627F0">
              <w:rPr>
                <w:noProof/>
              </w:rPr>
              <w:fldChar w:fldCharType="begin"/>
            </w:r>
            <w:r w:rsidR="001627F0">
              <w:rPr>
                <w:noProof/>
              </w:rPr>
              <w:instrText xml:space="preserve"> SEQ Box \* ARABIC \s 1 </w:instrText>
            </w:r>
            <w:r w:rsidR="001627F0">
              <w:rPr>
                <w:noProof/>
              </w:rPr>
              <w:fldChar w:fldCharType="separate"/>
            </w:r>
            <w:r w:rsidR="00543B3D">
              <w:rPr>
                <w:noProof/>
              </w:rPr>
              <w:t>5</w:t>
            </w:r>
            <w:r w:rsidR="001627F0">
              <w:rPr>
                <w:noProof/>
              </w:rPr>
              <w:fldChar w:fldCharType="end"/>
            </w:r>
            <w:bookmarkEnd w:id="138"/>
            <w:r w:rsidR="001627F0">
              <w:t xml:space="preserve">. </w:t>
            </w:r>
            <w:r>
              <w:t>Ireland</w:t>
            </w:r>
            <w:r w:rsidR="00A40062">
              <w:t xml:space="preserve"> - S</w:t>
            </w:r>
            <w:r>
              <w:t>hift to Life Events for simple services</w:t>
            </w:r>
            <w:bookmarkEnd w:id="139"/>
            <w:r>
              <w:t xml:space="preserve"> </w:t>
            </w:r>
          </w:p>
          <w:p w:rsidR="005C0094" w:rsidP="005C0094" w:rsidRDefault="005C0094" w14:paraId="08347903" w14:textId="77777777">
            <w:pPr>
              <w:pStyle w:val="BoxHeading"/>
              <w:keepNext w:val="0"/>
            </w:pPr>
            <w:r>
              <w:t>Ireland’s 2030 strategy and plans for digital public services</w:t>
            </w:r>
          </w:p>
          <w:p w:rsidR="000E6AC2" w:rsidP="00A60223" w:rsidRDefault="005C0094" w14:paraId="14044F02" w14:textId="77777777">
            <w:pPr>
              <w:pStyle w:val="Para0"/>
            </w:pPr>
            <w:r w:rsidRPr="00832509">
              <w:rPr>
                <w:b/>
                <w:bCs/>
              </w:rPr>
              <w:t>Ireland</w:t>
            </w:r>
            <w:r>
              <w:t xml:space="preserve"> is embarking on a transformation of its public services and simplification – making services easier to use, removing unnecessary frictions, and reducing repeated information requests – is a key element. The </w:t>
            </w:r>
            <w:r>
              <w:rPr>
                <w:i/>
                <w:iCs/>
              </w:rPr>
              <w:t>Better Public Services 2030 strategy</w:t>
            </w:r>
            <w:r>
              <w:t xml:space="preserve"> commits to delivering digitally enabled, joined up and streamlined services, whilst the </w:t>
            </w:r>
            <w:r>
              <w:rPr>
                <w:i/>
                <w:iCs/>
              </w:rPr>
              <w:t>Digital Public Services Plan 2030</w:t>
            </w:r>
            <w:r w:rsidR="00A60223">
              <w:rPr>
                <w:i/>
                <w:iCs/>
              </w:rPr>
              <w:t xml:space="preserve">, </w:t>
            </w:r>
            <w:r w:rsidRPr="001824E1" w:rsidR="00A60223">
              <w:rPr>
                <w:lang w:val="en-IE"/>
              </w:rPr>
              <w:t>set</w:t>
            </w:r>
            <w:r w:rsidR="00A60223">
              <w:rPr>
                <w:lang w:val="en-IE"/>
              </w:rPr>
              <w:t>ting</w:t>
            </w:r>
            <w:r w:rsidRPr="001824E1" w:rsidR="00A60223">
              <w:rPr>
                <w:lang w:val="en-IE"/>
              </w:rPr>
              <w:t xml:space="preserve"> out a whole</w:t>
            </w:r>
            <w:r w:rsidRPr="001824E1" w:rsidR="00A60223">
              <w:rPr>
                <w:lang w:val="en-IE"/>
              </w:rPr>
              <w:noBreakHyphen/>
            </w:r>
            <w:r w:rsidRPr="001824E1" w:rsidR="00A60223">
              <w:rPr>
                <w:lang w:val="en-IE"/>
              </w:rPr>
              <w:t>of</w:t>
            </w:r>
            <w:r w:rsidRPr="001824E1" w:rsidR="00A60223">
              <w:rPr>
                <w:lang w:val="en-IE"/>
              </w:rPr>
              <w:noBreakHyphen/>
            </w:r>
            <w:r w:rsidRPr="001824E1" w:rsidR="00A60223">
              <w:rPr>
                <w:lang w:val="en-IE"/>
              </w:rPr>
              <w:t>government roadmap to deliver 100% online accessibility of key public services and ensure that 90% of applicable services are consumed online by 2030</w:t>
            </w:r>
            <w:r w:rsidR="00A60223">
              <w:rPr>
                <w:lang w:val="en-IE"/>
              </w:rPr>
              <w:t>,</w:t>
            </w:r>
            <w:r>
              <w:t xml:space="preserve"> provides the operational roadmap. </w:t>
            </w:r>
          </w:p>
          <w:p w:rsidRPr="001824E1" w:rsidR="001607AC" w:rsidP="001607AC" w:rsidRDefault="001824E1" w14:paraId="0B3D94D2" w14:textId="72F50166">
            <w:pPr>
              <w:pStyle w:val="Para0"/>
              <w:rPr>
                <w:lang w:val="en-IE"/>
              </w:rPr>
            </w:pPr>
            <w:r w:rsidRPr="001824E1">
              <w:rPr>
                <w:lang w:val="en-IE"/>
              </w:rPr>
              <w:t xml:space="preserve">The Plan represents one of the most ambitious public service transformation programmes undertaken by the State and is a flagship initiative of </w:t>
            </w:r>
            <w:r w:rsidRPr="001824E1">
              <w:rPr>
                <w:i/>
                <w:iCs/>
                <w:lang w:val="en-IE"/>
              </w:rPr>
              <w:t>Better Public Services</w:t>
            </w:r>
            <w:r w:rsidRPr="001824E1">
              <w:rPr>
                <w:lang w:val="en-IE"/>
              </w:rPr>
              <w:t>. It aim</w:t>
            </w:r>
            <w:r w:rsidR="001607AC">
              <w:rPr>
                <w:lang w:val="en-IE"/>
              </w:rPr>
              <w:t>s</w:t>
            </w:r>
            <w:r w:rsidRPr="001824E1">
              <w:rPr>
                <w:lang w:val="en-IE"/>
              </w:rPr>
              <w:t xml:space="preserve"> to redesign how people interact with government, making services simpler, proactive, human</w:t>
            </w:r>
            <w:r w:rsidRPr="001824E1">
              <w:rPr>
                <w:lang w:val="en-IE"/>
              </w:rPr>
              <w:noBreakHyphen/>
            </w:r>
            <w:r w:rsidRPr="001824E1">
              <w:rPr>
                <w:lang w:val="en-IE"/>
              </w:rPr>
              <w:t>centred and fully integrated across life events</w:t>
            </w:r>
            <w:r w:rsidR="009970D6">
              <w:rPr>
                <w:lang w:val="en-IE"/>
              </w:rPr>
              <w:t xml:space="preserve">, embodying </w:t>
            </w:r>
            <w:r w:rsidRPr="001824E1" w:rsidR="001607AC">
              <w:rPr>
                <w:lang w:val="en-IE"/>
              </w:rPr>
              <w:t xml:space="preserve">the shift towards </w:t>
            </w:r>
            <w:r w:rsidRPr="001824E1" w:rsidR="001607AC">
              <w:rPr>
                <w:i/>
                <w:iCs/>
                <w:lang w:val="en-IE"/>
              </w:rPr>
              <w:t>human</w:t>
            </w:r>
            <w:r w:rsidRPr="001824E1" w:rsidR="001607AC">
              <w:rPr>
                <w:i/>
                <w:iCs/>
                <w:lang w:val="en-IE"/>
              </w:rPr>
              <w:noBreakHyphen/>
            </w:r>
            <w:r w:rsidRPr="001824E1" w:rsidR="001607AC">
              <w:rPr>
                <w:i/>
                <w:iCs/>
                <w:lang w:val="en-IE"/>
              </w:rPr>
              <w:t>centred, data</w:t>
            </w:r>
            <w:r w:rsidRPr="001824E1" w:rsidR="001607AC">
              <w:rPr>
                <w:i/>
                <w:iCs/>
                <w:lang w:val="en-IE"/>
              </w:rPr>
              <w:noBreakHyphen/>
            </w:r>
            <w:r w:rsidRPr="001824E1" w:rsidR="001607AC">
              <w:rPr>
                <w:i/>
                <w:iCs/>
                <w:lang w:val="en-IE"/>
              </w:rPr>
              <w:t>driven and integrated</w:t>
            </w:r>
            <w:r w:rsidRPr="001824E1" w:rsidR="001607AC">
              <w:rPr>
                <w:lang w:val="en-IE"/>
              </w:rPr>
              <w:t xml:space="preserve"> public administration, with the ambition that by 2030, Ireland’s digital public services are not only available online but genuinely usable, trusted and designed around people’s needs.</w:t>
            </w:r>
          </w:p>
          <w:p w:rsidR="005C0094" w:rsidP="005C0094" w:rsidRDefault="00DB586B" w14:paraId="55F333EB" w14:textId="3775AA33">
            <w:pPr>
              <w:pStyle w:val="Para0"/>
            </w:pPr>
            <w:r>
              <w:t xml:space="preserve">Ireland’s shift to a life-events approach is a core simplification tool. </w:t>
            </w:r>
            <w:r w:rsidRPr="001824E1" w:rsidR="001824E1">
              <w:rPr>
                <w:lang w:val="en-IE"/>
              </w:rPr>
              <w:t>At the core of the Plan is the Life Events approach</w:t>
            </w:r>
            <w:r w:rsidR="009C0C21">
              <w:rPr>
                <w:lang w:val="en-IE"/>
              </w:rPr>
              <w:t xml:space="preserve"> </w:t>
            </w:r>
            <w:r w:rsidR="00872579">
              <w:rPr>
                <w:lang w:val="en-IE"/>
              </w:rPr>
              <w:t>with</w:t>
            </w:r>
            <w:r w:rsidRPr="001824E1" w:rsidR="001824E1">
              <w:rPr>
                <w:lang w:val="en-IE"/>
              </w:rPr>
              <w:t xml:space="preserve"> a phased delivery model across 17 life events and 189 services, with major redesign cycles occurring every 18 months through 2026, 2027 and 2028. </w:t>
            </w:r>
            <w:r w:rsidR="005C0094">
              <w:t>Integrating agency services around life-events will reduce duplication, information requests and the overall number of steps in the user journey. Early prototyping demonstrates the benefits of automated data sharing, consolidated applications and single user portals.</w:t>
            </w:r>
          </w:p>
          <w:p w:rsidR="005C0094" w:rsidP="005C0094" w:rsidRDefault="005C0094" w14:paraId="6E1BA77E" w14:textId="77777777">
            <w:pPr>
              <w:pStyle w:val="Para0"/>
            </w:pPr>
            <w:r>
              <w:t xml:space="preserve">At the same time, Ireland’s </w:t>
            </w:r>
            <w:r>
              <w:rPr>
                <w:i/>
                <w:iCs/>
              </w:rPr>
              <w:t>Action Plan for Designing Better Public Services</w:t>
            </w:r>
            <w:r>
              <w:t xml:space="preserve"> aims to strengthen the simplification toolkit by embedding design mindsets, co-design, prototyping, and user journey mapping across the public service. Alongside this service design capability building, the 2030 agenda promotes digital-first, omni-channel delivery (centred on MyGovID, Digital Wallet and a Life Events Portal), and once-only data principles (integrated back-office data flows), and continuous improvement cycles. </w:t>
            </w:r>
          </w:p>
          <w:p w:rsidRPr="00482445" w:rsidR="005C0094" w:rsidP="005C0094" w:rsidRDefault="005C0094" w14:paraId="35F586E8" w14:textId="77777777">
            <w:pPr>
              <w:pStyle w:val="Para0"/>
              <w:rPr>
                <w:lang w:val="en-US"/>
              </w:rPr>
            </w:pPr>
            <w:r>
              <w:rPr>
                <w:b/>
                <w:bCs/>
                <w:lang w:val="en-US"/>
              </w:rPr>
              <w:t>Good practices summary:</w:t>
            </w:r>
          </w:p>
          <w:p w:rsidR="005C0094" w:rsidP="005C0094" w:rsidRDefault="005C0094" w14:paraId="27454F1F" w14:textId="64075F3B">
            <w:pPr>
              <w:pStyle w:val="BulletedList"/>
              <w:rPr>
                <w:lang w:val="en-US"/>
              </w:rPr>
            </w:pPr>
            <w:r w:rsidRPr="00832509">
              <w:rPr>
                <w:b/>
                <w:bCs/>
                <w:lang w:val="en-US"/>
              </w:rPr>
              <w:t>Adopt a life-events architecture</w:t>
            </w:r>
            <w:r>
              <w:rPr>
                <w:lang w:val="en-US"/>
              </w:rPr>
              <w:t xml:space="preserve"> beginning with the highest-volume events, map user journeys across agencies, design one integrated front door for each</w:t>
            </w:r>
            <w:r w:rsidR="00C80101">
              <w:rPr>
                <w:lang w:val="en-US"/>
              </w:rPr>
              <w:t>.</w:t>
            </w:r>
          </w:p>
          <w:p w:rsidR="005C0094" w:rsidP="005C0094" w:rsidRDefault="005C0094" w14:paraId="28F90DC3" w14:textId="6308CC9B">
            <w:pPr>
              <w:pStyle w:val="BulletedList"/>
              <w:rPr>
                <w:lang w:val="en-US"/>
              </w:rPr>
            </w:pPr>
            <w:r w:rsidRPr="00832509">
              <w:rPr>
                <w:b/>
                <w:bCs/>
                <w:lang w:val="en-US"/>
              </w:rPr>
              <w:t>Create central design and digital building blocks</w:t>
            </w:r>
            <w:r>
              <w:rPr>
                <w:lang w:val="en-US"/>
              </w:rPr>
              <w:t xml:space="preserve"> (digital ID, common form components, data standards, event-triggered notifications)</w:t>
            </w:r>
            <w:r w:rsidR="00C80101">
              <w:rPr>
                <w:lang w:val="en-US"/>
              </w:rPr>
              <w:t>.</w:t>
            </w:r>
          </w:p>
          <w:p w:rsidR="005C0094" w:rsidP="005C0094" w:rsidRDefault="005C0094" w14:paraId="7591BFD6" w14:textId="105468E2">
            <w:pPr>
              <w:pStyle w:val="BulletedList"/>
              <w:rPr>
                <w:lang w:val="en-US"/>
              </w:rPr>
            </w:pPr>
            <w:r w:rsidRPr="00832509">
              <w:rPr>
                <w:b/>
                <w:bCs/>
                <w:lang w:val="en-US"/>
              </w:rPr>
              <w:t>Invest early in simplification</w:t>
            </w:r>
            <w:r>
              <w:rPr>
                <w:lang w:val="en-US"/>
              </w:rPr>
              <w:t xml:space="preserve"> through service design, use co-design, discovery research and prototyping</w:t>
            </w:r>
            <w:r w:rsidR="00C80101">
              <w:rPr>
                <w:lang w:val="en-US"/>
              </w:rPr>
              <w:t>.</w:t>
            </w:r>
          </w:p>
          <w:p w:rsidR="005C0094" w:rsidP="005C0094" w:rsidRDefault="005C0094" w14:paraId="73797850" w14:textId="6F4A50A1">
            <w:pPr>
              <w:pStyle w:val="BulletedList"/>
              <w:rPr>
                <w:lang w:val="en-US"/>
              </w:rPr>
            </w:pPr>
            <w:r w:rsidRPr="00832509">
              <w:rPr>
                <w:b/>
                <w:bCs/>
                <w:lang w:val="en-US"/>
              </w:rPr>
              <w:t>Prioritise back-office integration</w:t>
            </w:r>
            <w:r>
              <w:rPr>
                <w:lang w:val="en-US"/>
              </w:rPr>
              <w:t xml:space="preserve"> before scaling digital front-end</w:t>
            </w:r>
            <w:r w:rsidR="00C80101">
              <w:rPr>
                <w:lang w:val="en-US"/>
              </w:rPr>
              <w:t>.</w:t>
            </w:r>
          </w:p>
          <w:p w:rsidRPr="005C0094" w:rsidR="005C0094" w:rsidP="005C0094" w:rsidRDefault="005C0094" w14:paraId="41A4A5AD" w14:textId="5E8C055F">
            <w:pPr>
              <w:pStyle w:val="BulletedList"/>
            </w:pPr>
            <w:r w:rsidRPr="00832509">
              <w:rPr>
                <w:b/>
                <w:bCs/>
                <w:lang w:val="en-US"/>
              </w:rPr>
              <w:t>Use iterative delivery cycles</w:t>
            </w:r>
            <w:r>
              <w:rPr>
                <w:lang w:val="en-US"/>
              </w:rPr>
              <w:t xml:space="preserve"> to continually simplify and refine</w:t>
            </w:r>
            <w:r w:rsidR="00C80101">
              <w:rPr>
                <w:lang w:val="en-US"/>
              </w:rPr>
              <w:t>.</w:t>
            </w:r>
            <w:r>
              <w:rPr>
                <w:lang w:val="en-US"/>
              </w:rPr>
              <w:t xml:space="preserve"> </w:t>
            </w:r>
          </w:p>
          <w:p w:rsidRPr="005C0094" w:rsidR="005C0094" w:rsidP="005C0094" w:rsidRDefault="005C0094" w14:paraId="6D899A2B" w14:textId="5337A1D7">
            <w:pPr>
              <w:pStyle w:val="BulletedList"/>
            </w:pPr>
            <w:r w:rsidRPr="00832509">
              <w:rPr>
                <w:b/>
                <w:bCs/>
                <w:lang w:val="en-US"/>
              </w:rPr>
              <w:t>Make simplification a governance priority</w:t>
            </w:r>
            <w:r>
              <w:rPr>
                <w:lang w:val="en-US"/>
              </w:rPr>
              <w:t xml:space="preserve"> with accountability and cross-agency working groups</w:t>
            </w:r>
            <w:r w:rsidR="00C80101">
              <w:rPr>
                <w:lang w:val="en-US"/>
              </w:rPr>
              <w:t>.</w:t>
            </w:r>
          </w:p>
          <w:p w:rsidRPr="00775FF9" w:rsidR="001627F0" w:rsidP="00832509" w:rsidRDefault="001627F0" w14:paraId="1231AE1F" w14:textId="7C56BFEA">
            <w:pPr>
              <w:pStyle w:val="Sourcenotes"/>
            </w:pPr>
            <w:r w:rsidRPr="005C0094">
              <w:t xml:space="preserve">Source: </w:t>
            </w:r>
            <w:r w:rsidRPr="005C0094" w:rsidR="005C0094">
              <w:t>Data collected through TSI Country Mission to Ireland, March 2025</w:t>
            </w:r>
            <w:r w:rsidR="00A22EAB">
              <w:t xml:space="preserve">; </w:t>
            </w:r>
            <w:sdt>
              <w:sdtPr>
                <w:id w:val="1031066430"/>
                <w:citation/>
              </w:sdtPr>
              <w:sdtEndPr/>
              <w:sdtContent>
                <w:r w:rsidR="00A22EAB">
                  <w:fldChar w:fldCharType="begin"/>
                </w:r>
                <w:r w:rsidRPr="00832509" w:rsidR="00A22EAB">
                  <w:instrText xml:space="preserve"> CITATION Gov254 \l 1036 </w:instrText>
                </w:r>
                <w:r w:rsidR="00A22EAB">
                  <w:fldChar w:fldCharType="separate"/>
                </w:r>
                <w:r w:rsidRPr="00F86F21" w:rsidR="00F86F21">
                  <w:rPr>
                    <w:noProof/>
                  </w:rPr>
                  <w:t>(</w:t>
                </w:r>
                <w:bookmarkStart w:name="Gov254_24" w:id="140"/>
                <w:r w:rsidRPr="00F86F21" w:rsidR="00F86F21">
                  <w:rPr>
                    <w:noProof/>
                  </w:rPr>
                  <w:t>Government of Ireland, 2025</w:t>
                </w:r>
                <w:r w:rsidRPr="00F86F21" w:rsidR="00F86F21">
                  <w:rPr>
                    <w:noProof/>
                    <w:vertAlign w:val="subscript"/>
                  </w:rPr>
                  <w:t>[24]</w:t>
                </w:r>
                <w:r w:rsidRPr="00F86F21" w:rsidR="00F86F21">
                  <w:rPr>
                    <w:noProof/>
                  </w:rPr>
                  <w:t>)</w:t>
                </w:r>
                <w:bookmarkEnd w:id="140"/>
                <w:r w:rsidR="00A22EAB">
                  <w:fldChar w:fldCharType="end"/>
                </w:r>
              </w:sdtContent>
            </w:sdt>
            <w:r w:rsidR="000A2FEF">
              <w:t>.</w:t>
            </w:r>
          </w:p>
        </w:tc>
      </w:tr>
    </w:tbl>
    <w:p w:rsidR="001627F0" w:rsidP="00EB563B" w:rsidRDefault="001627F0" w14:paraId="3D947CBA" w14:textId="77777777">
      <w:pPr>
        <w:pStyle w:val="BulletedList"/>
        <w:numPr>
          <w:ilvl w:val="0"/>
          <w:numId w:val="0"/>
        </w:numPr>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5C0094" w14:paraId="7A530EA0"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5C0094" w:rsidRDefault="00390409" w14:paraId="2924C22F" w14:textId="75E9A123">
            <w:pPr>
              <w:pStyle w:val="Caption"/>
            </w:pPr>
            <w:bookmarkStart w:name="_Ref215525582" w:id="141"/>
            <w:bookmarkStart w:name="_Toc223413827" w:id="142"/>
            <w:r>
              <w:rPr>
                <w:noProof/>
              </w:rPr>
              <w:drawing>
                <wp:anchor distT="0" distB="0" distL="114300" distR="114300" simplePos="0" relativeHeight="251658274" behindDoc="1" locked="0" layoutInCell="1" allowOverlap="1" wp14:anchorId="1BB63951" wp14:editId="0ED11688">
                  <wp:simplePos x="0" y="0"/>
                  <wp:positionH relativeFrom="column">
                    <wp:posOffset>4706327</wp:posOffset>
                  </wp:positionH>
                  <wp:positionV relativeFrom="paragraph">
                    <wp:posOffset>142826</wp:posOffset>
                  </wp:positionV>
                  <wp:extent cx="934720" cy="635000"/>
                  <wp:effectExtent l="0" t="0" r="0" b="0"/>
                  <wp:wrapTight wrapText="bothSides">
                    <wp:wrapPolygon edited="0">
                      <wp:start x="0" y="0"/>
                      <wp:lineTo x="0" y="20736"/>
                      <wp:lineTo x="21130" y="20736"/>
                      <wp:lineTo x="21130" y="0"/>
                      <wp:lineTo x="0" y="0"/>
                    </wp:wrapPolygon>
                  </wp:wrapTight>
                  <wp:docPr id="3180399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30314" name="Picture 14063031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934720" cy="635000"/>
                          </a:xfrm>
                          <a:prstGeom prst="rect">
                            <a:avLst/>
                          </a:prstGeom>
                        </pic:spPr>
                      </pic:pic>
                    </a:graphicData>
                  </a:graphic>
                  <wp14:sizeRelH relativeFrom="margin">
                    <wp14:pctWidth>0</wp14:pctWidth>
                  </wp14:sizeRelH>
                  <wp14:sizeRelV relativeFrom="margin">
                    <wp14:pctHeight>0</wp14:pctHeight>
                  </wp14:sizeRelV>
                </wp:anchor>
              </w:drawing>
            </w:r>
            <w:r w:rsidRPr="00B44A50" w:rsidR="005C0094">
              <w:t>Box</w:t>
            </w:r>
            <w:r w:rsidR="005C0094">
              <w:t> </w:t>
            </w:r>
            <w:r w:rsidR="005C0094">
              <w:rPr>
                <w:noProof/>
              </w:rPr>
              <w:fldChar w:fldCharType="begin"/>
            </w:r>
            <w:r w:rsidR="005C0094">
              <w:rPr>
                <w:noProof/>
              </w:rPr>
              <w:instrText xml:space="preserve"> STYLEREF 1 \s </w:instrText>
            </w:r>
            <w:r w:rsidR="005C0094">
              <w:rPr>
                <w:noProof/>
              </w:rPr>
              <w:fldChar w:fldCharType="separate"/>
            </w:r>
            <w:r w:rsidR="00543B3D">
              <w:rPr>
                <w:noProof/>
              </w:rPr>
              <w:t>4</w:t>
            </w:r>
            <w:r w:rsidR="005C0094">
              <w:rPr>
                <w:noProof/>
              </w:rPr>
              <w:fldChar w:fldCharType="end"/>
            </w:r>
            <w:r w:rsidR="005C0094">
              <w:t>.</w:t>
            </w:r>
            <w:r w:rsidR="005C0094">
              <w:rPr>
                <w:noProof/>
              </w:rPr>
              <w:fldChar w:fldCharType="begin"/>
            </w:r>
            <w:r w:rsidR="005C0094">
              <w:rPr>
                <w:noProof/>
              </w:rPr>
              <w:instrText xml:space="preserve"> SEQ Box \* ARABIC \s 1 </w:instrText>
            </w:r>
            <w:r w:rsidR="005C0094">
              <w:rPr>
                <w:noProof/>
              </w:rPr>
              <w:fldChar w:fldCharType="separate"/>
            </w:r>
            <w:r w:rsidR="00543B3D">
              <w:rPr>
                <w:noProof/>
              </w:rPr>
              <w:t>6</w:t>
            </w:r>
            <w:r w:rsidR="005C0094">
              <w:rPr>
                <w:noProof/>
              </w:rPr>
              <w:fldChar w:fldCharType="end"/>
            </w:r>
            <w:bookmarkEnd w:id="141"/>
            <w:r w:rsidR="005C0094">
              <w:t xml:space="preserve">. </w:t>
            </w:r>
            <w:r w:rsidR="00A40062">
              <w:rPr>
                <w:lang w:val="en-US"/>
              </w:rPr>
              <w:t>Lithuania -</w:t>
            </w:r>
            <w:r w:rsidRPr="00B83C8B">
              <w:rPr>
                <w:lang w:val="en-US"/>
              </w:rPr>
              <w:t xml:space="preserve"> </w:t>
            </w:r>
            <w:r>
              <w:rPr>
                <w:lang w:val="en-US"/>
              </w:rPr>
              <w:t>State Tax Inspectorate</w:t>
            </w:r>
            <w:r w:rsidRPr="00B83C8B">
              <w:rPr>
                <w:lang w:val="en-US"/>
              </w:rPr>
              <w:t xml:space="preserve"> </w:t>
            </w:r>
            <w:r>
              <w:rPr>
                <w:lang w:val="en-US"/>
              </w:rPr>
              <w:t>and its i</w:t>
            </w:r>
            <w:r w:rsidRPr="00B83C8B">
              <w:rPr>
                <w:lang w:val="en-US"/>
              </w:rPr>
              <w:t>nnovative e-services a</w:t>
            </w:r>
            <w:r>
              <w:rPr>
                <w:lang w:val="en-US"/>
              </w:rPr>
              <w:t>nd digital transformation strategy</w:t>
            </w:r>
            <w:bookmarkEnd w:id="142"/>
            <w:r>
              <w:rPr>
                <w:lang w:val="en-US"/>
              </w:rPr>
              <w:t xml:space="preserve"> </w:t>
            </w:r>
          </w:p>
          <w:p w:rsidRPr="00AB622E" w:rsidR="00390409" w:rsidP="00390409" w:rsidRDefault="00390409" w14:paraId="6A3AB881" w14:textId="3D74F10D">
            <w:pPr>
              <w:pStyle w:val="Para0"/>
            </w:pPr>
            <w:r w:rsidRPr="00832509">
              <w:rPr>
                <w:b/>
                <w:bCs/>
              </w:rPr>
              <w:t>Lithuania</w:t>
            </w:r>
            <w:r>
              <w:t>’s State Tax Inspectorate (VMI) has developed a structured approach to designing public services, as its methodology puts the emphasis on understanding taxpayers’ needs, simplifying interactions, and developing digital tools that are proactive, intuitive and easy to use. The approach reduces administrative burdens, increases compliance through clarity and ensures that services are built around real user journeys. By continu</w:t>
            </w:r>
            <w:r w:rsidR="00A909BA">
              <w:t>ously</w:t>
            </w:r>
            <w:r>
              <w:t xml:space="preserve"> testing, measuring and improving service experiences, the institution has become a leader in citizen-focused service delivery in the country. </w:t>
            </w:r>
          </w:p>
          <w:p w:rsidRPr="00864412" w:rsidR="00390409" w:rsidP="00390409" w:rsidRDefault="00390409" w14:paraId="69C50FEB" w14:textId="77777777">
            <w:pPr>
              <w:pStyle w:val="Para0"/>
              <w:rPr>
                <w:b/>
                <w:bCs/>
                <w:lang w:val="en-US"/>
              </w:rPr>
            </w:pPr>
            <w:r>
              <w:rPr>
                <w:b/>
                <w:bCs/>
                <w:lang w:val="en-US"/>
              </w:rPr>
              <w:t>Good practices summary:</w:t>
            </w:r>
          </w:p>
          <w:p w:rsidRPr="00864412" w:rsidR="00390409" w:rsidP="00390409" w:rsidRDefault="00390409" w14:paraId="48008928" w14:textId="4A506553">
            <w:pPr>
              <w:pStyle w:val="BulletedList"/>
              <w:rPr>
                <w:lang w:val="en-US"/>
              </w:rPr>
            </w:pPr>
            <w:r w:rsidRPr="00832509">
              <w:rPr>
                <w:b/>
                <w:bCs/>
                <w:lang w:val="en-US"/>
              </w:rPr>
              <w:t>Conduct research</w:t>
            </w:r>
            <w:r>
              <w:rPr>
                <w:lang w:val="en-US"/>
              </w:rPr>
              <w:t xml:space="preserve"> to understand taxpayer behaviors, pain points and needs</w:t>
            </w:r>
            <w:r w:rsidRPr="00864412">
              <w:rPr>
                <w:lang w:val="en-US"/>
              </w:rPr>
              <w:t>.</w:t>
            </w:r>
          </w:p>
          <w:p w:rsidRPr="00864412" w:rsidR="00390409" w:rsidP="00390409" w:rsidRDefault="00390409" w14:paraId="579A94C1" w14:textId="77777777">
            <w:pPr>
              <w:pStyle w:val="BulletedList"/>
              <w:rPr>
                <w:lang w:val="en-US"/>
              </w:rPr>
            </w:pPr>
            <w:r w:rsidRPr="00832509">
              <w:rPr>
                <w:b/>
                <w:bCs/>
                <w:lang w:val="en-US"/>
              </w:rPr>
              <w:t>Use service-design techniques</w:t>
            </w:r>
            <w:r>
              <w:rPr>
                <w:lang w:val="en-US"/>
              </w:rPr>
              <w:t>, such as user-journey mappings and co-creation exercises (target groups)</w:t>
            </w:r>
            <w:r w:rsidRPr="00864412">
              <w:rPr>
                <w:lang w:val="en-US"/>
              </w:rPr>
              <w:t>.</w:t>
            </w:r>
          </w:p>
          <w:p w:rsidRPr="00F7464D" w:rsidR="00390409" w:rsidP="00390409" w:rsidRDefault="00390409" w14:paraId="6049860E" w14:textId="77777777">
            <w:pPr>
              <w:pStyle w:val="BulletedList"/>
              <w:rPr>
                <w:lang w:val="en-US"/>
              </w:rPr>
            </w:pPr>
            <w:r w:rsidRPr="00832509">
              <w:rPr>
                <w:b/>
                <w:bCs/>
                <w:lang w:val="en-US"/>
              </w:rPr>
              <w:t>Simplify language, forms, processes</w:t>
            </w:r>
            <w:r>
              <w:rPr>
                <w:lang w:val="en-US"/>
              </w:rPr>
              <w:t xml:space="preserve"> to make tax obligations easier to understand</w:t>
            </w:r>
            <w:r w:rsidRPr="00864412">
              <w:rPr>
                <w:lang w:val="en-US"/>
              </w:rPr>
              <w:t>.</w:t>
            </w:r>
            <w:r>
              <w:rPr>
                <w:lang w:val="en-US"/>
              </w:rPr>
              <w:t xml:space="preserve"> Develop digital services with intuitive interfaces and step-by-step guidance</w:t>
            </w:r>
            <w:r w:rsidRPr="00864412">
              <w:rPr>
                <w:lang w:val="en-US"/>
              </w:rPr>
              <w:t>.</w:t>
            </w:r>
            <w:r>
              <w:t xml:space="preserve"> </w:t>
            </w:r>
          </w:p>
          <w:p w:rsidRPr="00FA15CC" w:rsidR="00390409" w:rsidP="00390409" w:rsidRDefault="007A22EF" w14:paraId="7FA8AE09" w14:textId="7D82D941">
            <w:pPr>
              <w:pStyle w:val="BulletedList"/>
              <w:rPr>
                <w:lang w:val="en-US"/>
              </w:rPr>
            </w:pPr>
            <w:r w:rsidRPr="00832509">
              <w:rPr>
                <w:b/>
                <w:bCs/>
              </w:rPr>
              <w:t>Strengthen</w:t>
            </w:r>
            <w:r w:rsidRPr="00832509" w:rsidR="00390409">
              <w:rPr>
                <w:b/>
                <w:bCs/>
              </w:rPr>
              <w:t xml:space="preserve"> communication channels</w:t>
            </w:r>
            <w:r w:rsidR="00390409">
              <w:t xml:space="preserve">, such as the </w:t>
            </w:r>
            <w:r w:rsidRPr="00FA15CC" w:rsidR="00390409">
              <w:t xml:space="preserve">call </w:t>
            </w:r>
            <w:r w:rsidRPr="00FA15CC">
              <w:t>centre</w:t>
            </w:r>
            <w:r w:rsidRPr="00FA15CC" w:rsidR="00390409">
              <w:t>, which provides assured advice to citizens</w:t>
            </w:r>
            <w:r w:rsidR="00A909BA">
              <w:t>.</w:t>
            </w:r>
          </w:p>
          <w:p w:rsidRPr="00864412" w:rsidR="00390409" w:rsidP="00390409" w:rsidRDefault="00390409" w14:paraId="05297F24" w14:textId="77777777">
            <w:pPr>
              <w:pStyle w:val="BulletedList"/>
              <w:rPr>
                <w:lang w:val="en-US"/>
              </w:rPr>
            </w:pPr>
            <w:r w:rsidRPr="00832509">
              <w:rPr>
                <w:b/>
                <w:bCs/>
                <w:lang w:val="en-US"/>
              </w:rPr>
              <w:t>Apply pro-active service principles</w:t>
            </w:r>
            <w:r>
              <w:rPr>
                <w:lang w:val="en-US"/>
              </w:rPr>
              <w:t xml:space="preserve"> (reminders)</w:t>
            </w:r>
            <w:r w:rsidRPr="00864412">
              <w:rPr>
                <w:lang w:val="en-US"/>
              </w:rPr>
              <w:t>.</w:t>
            </w:r>
          </w:p>
          <w:p w:rsidRPr="00390409" w:rsidR="00390409" w:rsidRDefault="00390409" w14:paraId="7D0057BA" w14:textId="77777777">
            <w:pPr>
              <w:pStyle w:val="BulletedList"/>
            </w:pPr>
            <w:r w:rsidRPr="00832509">
              <w:rPr>
                <w:b/>
                <w:bCs/>
                <w:lang w:val="en-US"/>
              </w:rPr>
              <w:t>Test new services</w:t>
            </w:r>
            <w:r w:rsidRPr="00390409">
              <w:rPr>
                <w:lang w:val="en-US"/>
              </w:rPr>
              <w:t xml:space="preserve"> before rolling them out. </w:t>
            </w:r>
          </w:p>
          <w:p w:rsidR="005C0094" w:rsidRDefault="00390409" w14:paraId="72835A47" w14:textId="317BC29D">
            <w:pPr>
              <w:pStyle w:val="BulletedList"/>
            </w:pPr>
            <w:r w:rsidRPr="00832509">
              <w:rPr>
                <w:b/>
                <w:bCs/>
                <w:lang w:val="en-US"/>
              </w:rPr>
              <w:t>Continuously monitor feedback and performance indicators</w:t>
            </w:r>
            <w:r w:rsidRPr="00390409">
              <w:rPr>
                <w:lang w:val="en-US"/>
              </w:rPr>
              <w:t xml:space="preserve"> to improve service quality.</w:t>
            </w:r>
          </w:p>
          <w:p w:rsidRPr="00775FF9" w:rsidR="005C0094" w:rsidRDefault="005C0094" w14:paraId="342B406B" w14:textId="3D2FCBB7">
            <w:pPr>
              <w:pStyle w:val="Sourcenotes"/>
            </w:pPr>
            <w:r>
              <w:t xml:space="preserve">Source: </w:t>
            </w:r>
            <w:r w:rsidR="00390409">
              <w:t>Data collected through TSI Country Mission to Lithuania, October 2025</w:t>
            </w:r>
            <w:r w:rsidR="00430B45">
              <w:t>.</w:t>
            </w:r>
          </w:p>
        </w:tc>
      </w:tr>
    </w:tbl>
    <w:p w:rsidR="00973026" w:rsidP="00973026" w:rsidRDefault="00973026" w14:paraId="7932CB43" w14:textId="11B21B66">
      <w:pPr>
        <w:pStyle w:val="Para0"/>
        <w:rPr>
          <w:lang w:val="en-US"/>
        </w:rPr>
      </w:pPr>
    </w:p>
    <w:p w:rsidR="00147401" w:rsidRDefault="00147401" w14:paraId="40B7183B" w14:textId="7B56890B"/>
    <w:p w:rsidR="00147401" w:rsidRDefault="00147401" w14:paraId="0D540424" w14:textId="77777777">
      <w:r>
        <w:rPr>
          <w:b/>
          <w:iCs/>
        </w:rPr>
        <w:br w:type="page"/>
      </w:r>
    </w:p>
    <w:p w:rsidR="00144972" w:rsidP="00144972" w:rsidRDefault="00447045" w14:paraId="2CE93C94" w14:textId="4DC20C68">
      <w:pPr>
        <w:pStyle w:val="Heading2"/>
        <w:rPr>
          <w:lang w:val="en-US"/>
        </w:rPr>
      </w:pPr>
      <w:bookmarkStart w:name="_Ref215433766" w:id="143"/>
      <w:bookmarkStart w:name="_Toc223413739" w:id="144"/>
      <w:r>
        <w:rPr>
          <w:lang w:val="en-US"/>
        </w:rPr>
        <w:t>Obtaining services with speed</w:t>
      </w:r>
      <w:bookmarkEnd w:id="143"/>
      <w:bookmarkEnd w:id="144"/>
      <w:r>
        <w:rPr>
          <w:lang w:val="en-US"/>
        </w:rPr>
        <w:t xml:space="preserve"> </w:t>
      </w:r>
    </w:p>
    <w:p w:rsidR="00EF26D5" w:rsidP="0019621A" w:rsidRDefault="004F7269" w14:paraId="280BBBF8" w14:textId="4694E32A">
      <w:pPr>
        <w:pStyle w:val="Para"/>
        <w:numPr>
          <w:ilvl w:val="0"/>
          <w:numId w:val="0"/>
        </w:numPr>
        <w:rPr>
          <w:lang w:val="en-US"/>
        </w:rPr>
      </w:pPr>
      <w:r w:rsidRPr="00832509">
        <w:rPr>
          <w:b/>
          <w:bCs/>
          <w:lang w:val="en-US"/>
        </w:rPr>
        <w:t>Users are more satisfied if they get the results they need fast.</w:t>
      </w:r>
      <w:r>
        <w:rPr>
          <w:lang w:val="en-US"/>
        </w:rPr>
        <w:t xml:space="preserve"> </w:t>
      </w:r>
      <w:r w:rsidR="00330965">
        <w:rPr>
          <w:lang w:val="en-US"/>
        </w:rPr>
        <w:t>While t</w:t>
      </w:r>
      <w:r w:rsidR="000F7B5B">
        <w:rPr>
          <w:lang w:val="en-US"/>
        </w:rPr>
        <w:t xml:space="preserve">he speed of obtaining the service </w:t>
      </w:r>
      <w:r w:rsidR="0018560A">
        <w:rPr>
          <w:lang w:val="en-US"/>
        </w:rPr>
        <w:t xml:space="preserve">usually </w:t>
      </w:r>
      <w:r w:rsidR="00EC6797">
        <w:rPr>
          <w:lang w:val="en-US"/>
        </w:rPr>
        <w:t xml:space="preserve">varies depending on </w:t>
      </w:r>
      <w:r w:rsidR="0018560A">
        <w:rPr>
          <w:lang w:val="en-US"/>
        </w:rPr>
        <w:t xml:space="preserve">the complexity of </w:t>
      </w:r>
      <w:r w:rsidR="00123732">
        <w:rPr>
          <w:lang w:val="en-US"/>
        </w:rPr>
        <w:t>a service</w:t>
      </w:r>
      <w:r w:rsidR="001E27DA">
        <w:rPr>
          <w:lang w:val="en-US"/>
        </w:rPr>
        <w:t xml:space="preserve">, </w:t>
      </w:r>
      <w:r w:rsidR="00E72A67">
        <w:rPr>
          <w:lang w:val="en-US"/>
        </w:rPr>
        <w:t>indiv</w:t>
      </w:r>
      <w:r w:rsidR="00DB58BB">
        <w:rPr>
          <w:lang w:val="en-US"/>
        </w:rPr>
        <w:t>idual situation</w:t>
      </w:r>
      <w:r w:rsidR="006428C9">
        <w:rPr>
          <w:lang w:val="en-US"/>
        </w:rPr>
        <w:t>s</w:t>
      </w:r>
      <w:r w:rsidR="001E27DA">
        <w:rPr>
          <w:lang w:val="en-US"/>
        </w:rPr>
        <w:t xml:space="preserve"> and government </w:t>
      </w:r>
      <w:r w:rsidR="008A5C32">
        <w:rPr>
          <w:lang w:val="en-US"/>
        </w:rPr>
        <w:t>institutions involved</w:t>
      </w:r>
      <w:r w:rsidR="00DB58BB">
        <w:rPr>
          <w:lang w:val="en-US"/>
        </w:rPr>
        <w:t xml:space="preserve">, users </w:t>
      </w:r>
      <w:r w:rsidR="0083742C">
        <w:rPr>
          <w:lang w:val="en-US"/>
        </w:rPr>
        <w:t xml:space="preserve">expect </w:t>
      </w:r>
      <w:r w:rsidR="00D604F4">
        <w:rPr>
          <w:lang w:val="en-US"/>
        </w:rPr>
        <w:t xml:space="preserve">the </w:t>
      </w:r>
      <w:r w:rsidR="00424FA3">
        <w:rPr>
          <w:lang w:val="en-US"/>
        </w:rPr>
        <w:t xml:space="preserve">delivery and achievement of </w:t>
      </w:r>
      <w:r w:rsidR="00B465CC">
        <w:rPr>
          <w:lang w:val="en-US"/>
        </w:rPr>
        <w:t xml:space="preserve">the </w:t>
      </w:r>
      <w:r w:rsidR="003F04D4">
        <w:rPr>
          <w:lang w:val="en-US"/>
        </w:rPr>
        <w:t>desired results</w:t>
      </w:r>
      <w:r w:rsidR="00D604F4">
        <w:rPr>
          <w:lang w:val="en-US"/>
        </w:rPr>
        <w:t xml:space="preserve"> that </w:t>
      </w:r>
      <w:r w:rsidR="00EF6537">
        <w:rPr>
          <w:lang w:val="en-US"/>
        </w:rPr>
        <w:t xml:space="preserve">are fast and with no </w:t>
      </w:r>
      <w:r w:rsidR="00CA25CE">
        <w:rPr>
          <w:lang w:val="en-US"/>
        </w:rPr>
        <w:t>further delays.</w:t>
      </w:r>
    </w:p>
    <w:tbl>
      <w:tblPr>
        <w:tblStyle w:val="OECD"/>
        <w:tblW w:w="0" w:type="auto"/>
        <w:tblLook w:val="04A0" w:firstRow="1" w:lastRow="0" w:firstColumn="1" w:lastColumn="0" w:noHBand="0" w:noVBand="1"/>
      </w:tblPr>
      <w:tblGrid>
        <w:gridCol w:w="9298"/>
      </w:tblGrid>
      <w:tr w:rsidR="008A6770" w14:paraId="4BCE7979" w14:textId="77777777">
        <w:tc>
          <w:tcPr>
            <w:tcW w:w="9298" w:type="dxa"/>
            <w:shd w:val="clear" w:color="auto" w:fill="244061" w:themeFill="accent1" w:themeFillShade="80"/>
          </w:tcPr>
          <w:p w:rsidRPr="00703A21" w:rsidR="008A6770" w:rsidRDefault="008A6770" w14:paraId="32E2D654" w14:textId="77777777">
            <w:pPr>
              <w:pStyle w:val="Para0"/>
              <w:jc w:val="center"/>
              <w:rPr>
                <w:b/>
                <w:bCs/>
                <w:color w:val="FFFFFF" w:themeColor="background1"/>
                <w:sz w:val="24"/>
                <w:szCs w:val="24"/>
              </w:rPr>
            </w:pPr>
            <w:r w:rsidRPr="00703A21">
              <w:rPr>
                <w:b/>
                <w:bCs/>
                <w:noProof/>
                <w:color w:val="FFFFFF" w:themeColor="background1"/>
                <w:sz w:val="24"/>
                <w:szCs w:val="24"/>
              </w:rPr>
              <w:drawing>
                <wp:anchor distT="0" distB="0" distL="114300" distR="114300" simplePos="0" relativeHeight="251658251" behindDoc="1" locked="0" layoutInCell="1" allowOverlap="1" wp14:anchorId="4B16F717" wp14:editId="7537A43D">
                  <wp:simplePos x="0" y="0"/>
                  <wp:positionH relativeFrom="column">
                    <wp:posOffset>4919980</wp:posOffset>
                  </wp:positionH>
                  <wp:positionV relativeFrom="paragraph">
                    <wp:posOffset>21590</wp:posOffset>
                  </wp:positionV>
                  <wp:extent cx="914400" cy="914400"/>
                  <wp:effectExtent l="0" t="0" r="0" b="0"/>
                  <wp:wrapTight wrapText="bothSides">
                    <wp:wrapPolygon edited="0">
                      <wp:start x="6750" y="900"/>
                      <wp:lineTo x="2250" y="9000"/>
                      <wp:lineTo x="2250" y="10800"/>
                      <wp:lineTo x="2700" y="16200"/>
                      <wp:lineTo x="6750" y="19350"/>
                      <wp:lineTo x="7200" y="20250"/>
                      <wp:lineTo x="13950" y="20250"/>
                      <wp:lineTo x="14400" y="19350"/>
                      <wp:lineTo x="18450" y="16200"/>
                      <wp:lineTo x="19350" y="8100"/>
                      <wp:lineTo x="17100" y="4500"/>
                      <wp:lineTo x="14400" y="900"/>
                      <wp:lineTo x="6750" y="900"/>
                    </wp:wrapPolygon>
                  </wp:wrapTight>
                  <wp:docPr id="1417603688" name="Graphic 9" descr="Stopwatch with solid fill">
                    <a:extLst xmlns:a="http://schemas.openxmlformats.org/drawingml/2006/main">
                      <a:ext uri="{FF2B5EF4-FFF2-40B4-BE49-F238E27FC236}">
                        <a16:creationId xmlns:a16="http://schemas.microsoft.com/office/drawing/2014/main" id="{B7C8702F-2BF8-C298-122E-A6D0E747D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603688" name="Graphic 9" descr="Stopwatch with solid fill">
                            <a:extLst>
                              <a:ext uri="{FF2B5EF4-FFF2-40B4-BE49-F238E27FC236}">
                                <a16:creationId xmlns:a16="http://schemas.microsoft.com/office/drawing/2014/main" id="{B7C8702F-2BF8-C298-122E-A6D0E747D968}"/>
                              </a:ext>
                            </a:extLst>
                          </pic:cNvPr>
                          <pic:cNvPicPr>
                            <a:picLocks noChangeAspect="1"/>
                          </pic:cNvPicPr>
                        </pic:nvPicPr>
                        <pic:blipFill>
                          <a:blip r:embed="rId81">
                            <a:extLst>
                              <a:ext uri="{96DAC541-7B7A-43D3-8B79-37D633B846F1}">
                                <asvg:svgBlip xmlns:asvg="http://schemas.microsoft.com/office/drawing/2016/SVG/main" r:embed="rId82"/>
                              </a:ext>
                            </a:extLst>
                          </a:blip>
                          <a:stretch>
                            <a:fillRect/>
                          </a:stretch>
                        </pic:blipFill>
                        <pic:spPr>
                          <a:xfrm>
                            <a:off x="0" y="0"/>
                            <a:ext cx="914400" cy="914400"/>
                          </a:xfrm>
                          <a:prstGeom prst="rect">
                            <a:avLst/>
                          </a:prstGeom>
                        </pic:spPr>
                      </pic:pic>
                    </a:graphicData>
                  </a:graphic>
                </wp:anchor>
              </w:drawing>
            </w:r>
            <w:r w:rsidRPr="00703A21">
              <w:rPr>
                <w:b/>
                <w:bCs/>
                <w:color w:val="FFFFFF" w:themeColor="background1"/>
                <w:sz w:val="24"/>
                <w:szCs w:val="24"/>
              </w:rPr>
              <w:t xml:space="preserve">Spotlight on results from the TSI Satisfaction Survey </w:t>
            </w:r>
          </w:p>
          <w:p w:rsidRPr="00703A21" w:rsidR="008A6770" w:rsidRDefault="008A6770" w14:paraId="4345140E" w14:textId="0E414096">
            <w:pPr>
              <w:pStyle w:val="Para0"/>
              <w:jc w:val="center"/>
              <w:rPr>
                <w:b/>
                <w:bCs/>
                <w:color w:val="FFFFFF" w:themeColor="background1"/>
                <w:sz w:val="24"/>
                <w:szCs w:val="24"/>
              </w:rPr>
            </w:pPr>
            <w:r>
              <w:rPr>
                <w:b/>
                <w:bCs/>
                <w:color w:val="FFFFFF" w:themeColor="background1"/>
                <w:sz w:val="24"/>
                <w:szCs w:val="24"/>
              </w:rPr>
              <w:t xml:space="preserve">Fast Services </w:t>
            </w:r>
          </w:p>
          <w:p w:rsidRPr="00513BC1" w:rsidR="00513BC1" w:rsidRDefault="008A6770" w14:paraId="5EC27FF9" w14:textId="143DF26D">
            <w:pPr>
              <w:pStyle w:val="Para0"/>
              <w:numPr>
                <w:ilvl w:val="0"/>
                <w:numId w:val="27"/>
              </w:numPr>
              <w:rPr>
                <w:color w:val="FFFFFF" w:themeColor="background1"/>
                <w:lang w:val="en-GB"/>
              </w:rPr>
            </w:pPr>
            <w:r>
              <w:rPr>
                <w:b/>
                <w:bCs/>
                <w:color w:val="FFFFFF" w:themeColor="background1"/>
              </w:rPr>
              <w:t xml:space="preserve">68% </w:t>
            </w:r>
            <w:r w:rsidRPr="00832509">
              <w:rPr>
                <w:b/>
                <w:bCs/>
                <w:color w:val="FFFFFF" w:themeColor="background1"/>
              </w:rPr>
              <w:t xml:space="preserve">of users in the EU-10 reported satisfaction with </w:t>
            </w:r>
            <w:r w:rsidRPr="00832509" w:rsidR="003F4F16">
              <w:rPr>
                <w:b/>
                <w:bCs/>
                <w:color w:val="FFFFFF" w:themeColor="background1"/>
              </w:rPr>
              <w:t>the speed of obtaining the service</w:t>
            </w:r>
            <w:r w:rsidRPr="00832509">
              <w:rPr>
                <w:b/>
                <w:bCs/>
                <w:color w:val="FFFFFF" w:themeColor="background1"/>
              </w:rPr>
              <w:t>.</w:t>
            </w:r>
            <w:r w:rsidR="00DE20D1">
              <w:rPr>
                <w:color w:val="FFFFFF" w:themeColor="background1"/>
              </w:rPr>
              <w:t xml:space="preserve"> </w:t>
            </w:r>
            <w:r w:rsidR="009E4420">
              <w:rPr>
                <w:color w:val="FFFFFF" w:themeColor="background1"/>
              </w:rPr>
              <w:t xml:space="preserve">The highest level of user satisfaction in relation to the speed of obtaining the service is </w:t>
            </w:r>
            <w:r w:rsidR="006428C9">
              <w:rPr>
                <w:color w:val="FFFFFF" w:themeColor="background1"/>
              </w:rPr>
              <w:t xml:space="preserve">found </w:t>
            </w:r>
            <w:r w:rsidR="009E4420">
              <w:rPr>
                <w:color w:val="FFFFFF" w:themeColor="background1"/>
              </w:rPr>
              <w:t xml:space="preserve">in Estonia, where 82% of users are satisfied. </w:t>
            </w:r>
            <w:r w:rsidR="00856AE9">
              <w:rPr>
                <w:color w:val="FFFFFF" w:themeColor="background1"/>
              </w:rPr>
              <w:t xml:space="preserve">Countries who have implemented reforms on the interconnection of services and data also </w:t>
            </w:r>
            <w:r w:rsidR="00513BC1">
              <w:rPr>
                <w:color w:val="FFFFFF" w:themeColor="background1"/>
              </w:rPr>
              <w:t xml:space="preserve">register a high level of satisfaction, with 76% of users satisfied in Lithuania and 73% in Latvia. This higher level of satisfaction may be attributed to users’ ability to access services quickly through digital channels. </w:t>
            </w:r>
            <w:r>
              <w:rPr>
                <w:color w:val="FFFFFF" w:themeColor="background1"/>
              </w:rPr>
              <w:t xml:space="preserve"> </w:t>
            </w:r>
          </w:p>
          <w:p w:rsidRPr="00F8473C" w:rsidR="008A6770" w:rsidRDefault="001A2748" w14:paraId="4C1F3820" w14:textId="44A91FC5">
            <w:pPr>
              <w:pStyle w:val="Para0"/>
              <w:numPr>
                <w:ilvl w:val="0"/>
                <w:numId w:val="27"/>
              </w:numPr>
              <w:rPr>
                <w:color w:val="FFFFFF" w:themeColor="background1"/>
                <w:lang w:val="en-GB"/>
              </w:rPr>
            </w:pPr>
            <w:r w:rsidRPr="00832509">
              <w:rPr>
                <w:b/>
                <w:bCs/>
                <w:color w:val="FFFFFF" w:themeColor="background1"/>
              </w:rPr>
              <w:t xml:space="preserve">As with other </w:t>
            </w:r>
            <w:r w:rsidRPr="00832509" w:rsidR="003C481B">
              <w:rPr>
                <w:b/>
                <w:bCs/>
                <w:color w:val="FFFFFF" w:themeColor="background1"/>
              </w:rPr>
              <w:t>drivers, there is a variation in satisfaction in relation to the speed of obtaining the service, depending on the Life Event.</w:t>
            </w:r>
            <w:r w:rsidR="003C481B">
              <w:rPr>
                <w:color w:val="FFFFFF" w:themeColor="background1"/>
              </w:rPr>
              <w:t xml:space="preserve"> Life Events that are more common and require less steps such as getting or renewing an ID (71%), </w:t>
            </w:r>
            <w:r w:rsidR="00775F73">
              <w:rPr>
                <w:color w:val="FFFFFF" w:themeColor="background1"/>
              </w:rPr>
              <w:t>getting or renewing a driving licen</w:t>
            </w:r>
            <w:r w:rsidR="00430B45">
              <w:rPr>
                <w:color w:val="FFFFFF" w:themeColor="background1"/>
              </w:rPr>
              <w:t>s</w:t>
            </w:r>
            <w:r w:rsidR="00775F73">
              <w:rPr>
                <w:color w:val="FFFFFF" w:themeColor="background1"/>
              </w:rPr>
              <w:t xml:space="preserve">e (75%) </w:t>
            </w:r>
            <w:r w:rsidR="007418F3">
              <w:rPr>
                <w:color w:val="FFFFFF" w:themeColor="background1"/>
              </w:rPr>
              <w:t>are registering the highest satisfaction levels.</w:t>
            </w:r>
          </w:p>
          <w:p w:rsidRPr="001C70FE" w:rsidR="00F8473C" w:rsidP="00832509" w:rsidRDefault="00C9256A" w14:paraId="5EFD47FE" w14:textId="021BA7A2">
            <w:pPr>
              <w:pStyle w:val="Para0"/>
              <w:rPr>
                <w:color w:val="FFFFFF" w:themeColor="background1"/>
                <w:lang w:val="en-GB"/>
              </w:rPr>
            </w:pPr>
            <w:r>
              <w:rPr>
                <w:b/>
                <w:bCs/>
                <w:noProof/>
                <w:color w:val="FFFFFF" w:themeColor="background1"/>
              </w:rPr>
              <w:drawing>
                <wp:anchor distT="0" distB="0" distL="114300" distR="114300" simplePos="0" relativeHeight="251658253" behindDoc="1" locked="0" layoutInCell="1" allowOverlap="1" wp14:anchorId="26DD6C7C" wp14:editId="0AE533B9">
                  <wp:simplePos x="0" y="0"/>
                  <wp:positionH relativeFrom="column">
                    <wp:posOffset>-67945</wp:posOffset>
                  </wp:positionH>
                  <wp:positionV relativeFrom="paragraph">
                    <wp:posOffset>3810</wp:posOffset>
                  </wp:positionV>
                  <wp:extent cx="5902960" cy="4852670"/>
                  <wp:effectExtent l="0" t="0" r="0" b="0"/>
                  <wp:wrapTight wrapText="bothSides">
                    <wp:wrapPolygon edited="0">
                      <wp:start x="1464" y="0"/>
                      <wp:lineTo x="1464" y="19588"/>
                      <wp:lineTo x="20145" y="19588"/>
                      <wp:lineTo x="20285" y="13822"/>
                      <wp:lineTo x="19727" y="13737"/>
                      <wp:lineTo x="18054" y="13567"/>
                      <wp:lineTo x="20215" y="13228"/>
                      <wp:lineTo x="20076" y="0"/>
                      <wp:lineTo x="1464" y="0"/>
                    </wp:wrapPolygon>
                  </wp:wrapTight>
                  <wp:docPr id="1129742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02960" cy="4852670"/>
                          </a:xfrm>
                          <a:prstGeom prst="rect">
                            <a:avLst/>
                          </a:prstGeom>
                          <a:noFill/>
                          <a:ln>
                            <a:noFill/>
                          </a:ln>
                        </pic:spPr>
                      </pic:pic>
                    </a:graphicData>
                  </a:graphic>
                </wp:anchor>
              </w:drawing>
            </w:r>
          </w:p>
          <w:p w:rsidRPr="00390409" w:rsidR="00390409" w:rsidP="00390409" w:rsidRDefault="00390409" w14:paraId="03684B56" w14:textId="77777777">
            <w:pPr>
              <w:pStyle w:val="Para0"/>
              <w:rPr>
                <w:color w:val="FFFFFF" w:themeColor="background1"/>
                <w:lang w:val="en-GB"/>
              </w:rPr>
            </w:pPr>
          </w:p>
          <w:p w:rsidRPr="00832509" w:rsidR="00390409" w:rsidP="00390409" w:rsidRDefault="00390409" w14:paraId="6EB0C16D" w14:textId="02848962">
            <w:pPr>
              <w:pStyle w:val="Para0"/>
              <w:rPr>
                <w:color w:val="FFFFFF" w:themeColor="background1"/>
                <w:sz w:val="16"/>
                <w:szCs w:val="16"/>
              </w:rPr>
            </w:pPr>
            <w:r w:rsidRPr="00832509">
              <w:rPr>
                <w:color w:val="FFFFFF" w:themeColor="background1"/>
                <w:sz w:val="16"/>
                <w:szCs w:val="16"/>
              </w:rPr>
              <w:t>Note: The dark blue arch represents the average satisfaction level with this driver for user</w:t>
            </w:r>
            <w:r w:rsidR="00430B45">
              <w:rPr>
                <w:color w:val="FFFFFF" w:themeColor="background1"/>
                <w:sz w:val="16"/>
                <w:szCs w:val="16"/>
              </w:rPr>
              <w:t>s</w:t>
            </w:r>
            <w:r w:rsidRPr="00832509">
              <w:rPr>
                <w:color w:val="FFFFFF" w:themeColor="background1"/>
                <w:sz w:val="16"/>
                <w:szCs w:val="16"/>
              </w:rPr>
              <w:t xml:space="preserve"> of all Life Events across the EU-10. The green pointer represents the satisfaction level of the user for this driver when experiencing the specific Life Event. The pointer position shows whether satisfaction for the specific Life Event is higher or lower than the overall average. </w:t>
            </w:r>
          </w:p>
          <w:p w:rsidRPr="00EE7985" w:rsidR="008A6770" w:rsidP="00390409" w:rsidRDefault="003F4F16" w14:paraId="261D4435" w14:textId="33AFCF71">
            <w:pPr>
              <w:pStyle w:val="Para0"/>
              <w:numPr>
                <w:ilvl w:val="0"/>
                <w:numId w:val="27"/>
              </w:numPr>
              <w:rPr>
                <w:b/>
                <w:bCs/>
                <w:color w:val="FFFFFF" w:themeColor="background1"/>
              </w:rPr>
            </w:pPr>
            <w:r w:rsidRPr="003F4F16">
              <w:rPr>
                <w:b/>
                <w:bCs/>
                <w:color w:val="FFFFFF" w:themeColor="background1"/>
              </w:rPr>
              <w:t xml:space="preserve">Similar satisfaction levels remained across education levels, genders and living areas. </w:t>
            </w:r>
            <w:r w:rsidRPr="00832509">
              <w:rPr>
                <w:color w:val="FFFFFF" w:themeColor="background1"/>
              </w:rPr>
              <w:t>Respondents over 50 years old are, on average, 12 percentage points more satisfied with the speed of getting the service, compared to their younger counterparts aged 18-29.</w:t>
            </w:r>
            <w:r w:rsidRPr="003F4F16">
              <w:rPr>
                <w:b/>
                <w:bCs/>
                <w:color w:val="FFFFFF" w:themeColor="background1"/>
              </w:rPr>
              <w:t xml:space="preserve"> </w:t>
            </w:r>
            <w:r w:rsidRPr="003F4F16">
              <w:rPr>
                <w:color w:val="FFFFFF" w:themeColor="background1"/>
              </w:rPr>
              <w:t>This difference in satisfaction between age groups is present in 7 out of 10 surveyed countries, with the exception being Austria, Estonia and Finland</w:t>
            </w:r>
            <w:r w:rsidRPr="003F4F16">
              <w:rPr>
                <w:b/>
                <w:bCs/>
                <w:color w:val="FFFFFF" w:themeColor="background1"/>
              </w:rPr>
              <w:t>.</w:t>
            </w:r>
          </w:p>
        </w:tc>
      </w:tr>
    </w:tbl>
    <w:p w:rsidR="00144972" w:rsidP="00514EFC" w:rsidRDefault="00C13594" w14:paraId="12A44E5C" w14:textId="760CF49A">
      <w:pPr>
        <w:pStyle w:val="Heading3"/>
        <w:rPr>
          <w:lang w:val="en-US"/>
        </w:rPr>
      </w:pPr>
      <w:r>
        <w:rPr>
          <w:lang w:val="en-US"/>
        </w:rPr>
        <w:t>Country practices and lessons learned</w:t>
      </w:r>
    </w:p>
    <w:p w:rsidR="000E3474" w:rsidP="0019621A" w:rsidRDefault="00300F0F" w14:paraId="47FDF963" w14:textId="7A2D9D3F">
      <w:pPr>
        <w:pStyle w:val="Para"/>
        <w:numPr>
          <w:ilvl w:val="0"/>
          <w:numId w:val="0"/>
        </w:numPr>
        <w:rPr>
          <w:lang w:val="en-US"/>
        </w:rPr>
      </w:pPr>
      <w:r w:rsidRPr="00832509">
        <w:rPr>
          <w:b/>
          <w:bCs/>
          <w:lang w:val="en-US"/>
        </w:rPr>
        <w:t xml:space="preserve">The speed of obtaining the service is intrinsically linked to </w:t>
      </w:r>
      <w:r w:rsidRPr="00832509" w:rsidR="00212695">
        <w:rPr>
          <w:b/>
          <w:bCs/>
          <w:lang w:val="en-US"/>
        </w:rPr>
        <w:t xml:space="preserve">some of the other drivers of satisfaction </w:t>
      </w:r>
      <w:r w:rsidR="00CD3B9E">
        <w:rPr>
          <w:b/>
          <w:bCs/>
          <w:lang w:val="en-US"/>
        </w:rPr>
        <w:t>analysed</w:t>
      </w:r>
      <w:r w:rsidRPr="00832509" w:rsidR="00CD3B9E">
        <w:rPr>
          <w:b/>
          <w:bCs/>
          <w:lang w:val="en-US"/>
        </w:rPr>
        <w:t xml:space="preserve"> </w:t>
      </w:r>
      <w:r w:rsidRPr="00832509" w:rsidR="00212695">
        <w:rPr>
          <w:b/>
          <w:bCs/>
          <w:lang w:val="en-US"/>
        </w:rPr>
        <w:t>by the TSI Satisfaction Survey.</w:t>
      </w:r>
      <w:r w:rsidR="00212695">
        <w:rPr>
          <w:lang w:val="en-US"/>
        </w:rPr>
        <w:t xml:space="preserve"> </w:t>
      </w:r>
      <w:r w:rsidR="000E3474">
        <w:rPr>
          <w:lang w:val="en-US"/>
        </w:rPr>
        <w:t xml:space="preserve">The figure below presents how addressing some of the other nine drivers of satisfaction can contribute to the overall speed of public services. </w:t>
      </w:r>
    </w:p>
    <w:p w:rsidR="00A57C67" w:rsidRDefault="00A57C67" w14:paraId="64B95DCD" w14:textId="54A7EAE0">
      <w:pPr>
        <w:pStyle w:val="Caption"/>
      </w:pPr>
      <w:bookmarkStart w:name="_Toc223413771" w:id="145"/>
      <w:r>
        <w:t>Figure </w:t>
      </w:r>
      <w:r>
        <w:rPr>
          <w:noProof/>
        </w:rPr>
        <w:fldChar w:fldCharType="begin"/>
      </w:r>
      <w:r>
        <w:rPr>
          <w:noProof/>
        </w:rPr>
        <w:instrText xml:space="preserve"> STYLEREF 1 \s </w:instrText>
      </w:r>
      <w:r>
        <w:rPr>
          <w:noProof/>
        </w:rPr>
        <w:fldChar w:fldCharType="separate"/>
      </w:r>
      <w:r w:rsidR="00543B3D">
        <w:rPr>
          <w:noProof/>
        </w:rPr>
        <w:t>4</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1</w:t>
      </w:r>
      <w:r>
        <w:rPr>
          <w:noProof/>
        </w:rPr>
        <w:fldChar w:fldCharType="end"/>
      </w:r>
      <w:r>
        <w:t xml:space="preserve">. </w:t>
      </w:r>
      <w:r w:rsidR="00273994">
        <w:t>Contribution of other drivers of satisfaction to the speed of obtaining the service</w:t>
      </w:r>
      <w:bookmarkEnd w:id="145"/>
      <w:r w:rsidR="00273994">
        <w:t xml:space="preserve"> </w:t>
      </w:r>
    </w:p>
    <w:p w:rsidR="00A57C67" w:rsidRDefault="00273994" w14:paraId="443918D2" w14:textId="23180845">
      <w:pPr>
        <w:pStyle w:val="Figure"/>
        <w:rPr>
          <w:i/>
        </w:rPr>
      </w:pPr>
      <w:r w:rsidRPr="00273994">
        <w:rPr>
          <w:noProof/>
        </w:rPr>
        <w:drawing>
          <wp:inline distT="0" distB="0" distL="0" distR="0" wp14:anchorId="6C0200DA" wp14:editId="2FF597E1">
            <wp:extent cx="5904230" cy="2653030"/>
            <wp:effectExtent l="0" t="0" r="1270" b="0"/>
            <wp:docPr id="1387258581" name="Picture 1" descr="A close-up of several ic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258581" name="Picture 1" descr="A close-up of several icons&#10;&#10;AI-generated content may be incorrect."/>
                    <pic:cNvPicPr/>
                  </pic:nvPicPr>
                  <pic:blipFill>
                    <a:blip r:embed="rId84"/>
                    <a:stretch>
                      <a:fillRect/>
                    </a:stretch>
                  </pic:blipFill>
                  <pic:spPr>
                    <a:xfrm>
                      <a:off x="0" y="0"/>
                      <a:ext cx="5904230" cy="2653030"/>
                    </a:xfrm>
                    <a:prstGeom prst="rect">
                      <a:avLst/>
                    </a:prstGeom>
                  </pic:spPr>
                </pic:pic>
              </a:graphicData>
            </a:graphic>
          </wp:inline>
        </w:drawing>
      </w:r>
    </w:p>
    <w:p w:rsidR="00273994" w:rsidRDefault="00A57C67" w14:paraId="3CE17A71" w14:textId="1A22C329">
      <w:pPr>
        <w:pStyle w:val="Sourcenotes"/>
      </w:pPr>
      <w:r w:rsidRPr="004802B4">
        <w:t>Source</w:t>
      </w:r>
      <w:r w:rsidR="00B42E4E">
        <w:t>: Authors’ own visualisation.</w:t>
      </w:r>
    </w:p>
    <w:p w:rsidRPr="00390409" w:rsidR="006D403A" w:rsidP="006D403A" w:rsidRDefault="006D403A" w14:paraId="5588799D" w14:textId="36E9CAC5">
      <w:pPr>
        <w:pStyle w:val="Para"/>
        <w:numPr>
          <w:ilvl w:val="0"/>
          <w:numId w:val="0"/>
        </w:numPr>
      </w:pPr>
      <w:r w:rsidRPr="00832509">
        <w:rPr>
          <w:b/>
          <w:bCs/>
        </w:rPr>
        <w:t>Speed is not only a matter of perception but also of commitments made by the administration, that then shapes the expectations of citizens.</w:t>
      </w:r>
      <w:r w:rsidRPr="00390409">
        <w:t xml:space="preserve"> </w:t>
      </w:r>
      <w:r w:rsidR="00CD3B9E">
        <w:t>For instance, if c</w:t>
      </w:r>
      <w:r w:rsidR="003F0395">
        <w:t>ountries</w:t>
      </w:r>
      <w:r w:rsidRPr="00390409">
        <w:t xml:space="preserve"> have set a timeline to provide a specific service to users, for instance the obtention of an ID document, and displayed it as a commitment on digital platform</w:t>
      </w:r>
      <w:r w:rsidR="00CD3B9E">
        <w:t>s</w:t>
      </w:r>
      <w:r w:rsidRPr="00390409">
        <w:t xml:space="preserve"> or physical offices. This encourages the administration to respect the timing communicated and deliver in a fast manner.</w:t>
      </w:r>
      <w:r w:rsidR="00390409">
        <w:t xml:space="preserve"> This is the case, for example, in Croati</w:t>
      </w:r>
      <w:r w:rsidR="000345BA">
        <w:t>a</w:t>
      </w:r>
      <w:r w:rsidR="00C010CE">
        <w:t xml:space="preserve"> (</w:t>
      </w:r>
      <w:r w:rsidR="00C010CE">
        <w:fldChar w:fldCharType="begin"/>
      </w:r>
      <w:r w:rsidR="00C010CE">
        <w:instrText xml:space="preserve"> REF _Ref215415602 \h </w:instrText>
      </w:r>
      <w:r w:rsidR="00C010CE">
        <w:fldChar w:fldCharType="separate"/>
      </w:r>
      <w:r w:rsidRPr="00B44A50" w:rsidR="00543B3D">
        <w:t>Box</w:t>
      </w:r>
      <w:r w:rsidR="00543B3D">
        <w:t> </w:t>
      </w:r>
      <w:r w:rsidR="00543B3D">
        <w:rPr>
          <w:noProof/>
        </w:rPr>
        <w:t>4</w:t>
      </w:r>
      <w:r w:rsidR="00543B3D">
        <w:t>.</w:t>
      </w:r>
      <w:r w:rsidR="00543B3D">
        <w:rPr>
          <w:noProof/>
        </w:rPr>
        <w:t>7</w:t>
      </w:r>
      <w:r w:rsidR="00C010CE">
        <w:fldChar w:fldCharType="end"/>
      </w:r>
      <w:r w:rsidR="00C010CE">
        <w:t xml:space="preserve">) where three different procedures are applied for requesting an ID document.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8F0DBB" w14:paraId="51FA494B"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8F0DBB" w:rsidRDefault="005105C2" w14:paraId="533279EA" w14:textId="732E2906">
            <w:pPr>
              <w:pStyle w:val="Caption"/>
            </w:pPr>
            <w:bookmarkStart w:name="_Ref215415602" w:id="146"/>
            <w:bookmarkStart w:name="_Toc223413828" w:id="147"/>
            <w:r w:rsidRPr="00EF798A">
              <w:rPr>
                <w:noProof/>
              </w:rPr>
              <w:drawing>
                <wp:anchor distT="0" distB="0" distL="114300" distR="114300" simplePos="0" relativeHeight="251658275" behindDoc="1" locked="0" layoutInCell="1" allowOverlap="1" wp14:anchorId="56E1CD2C" wp14:editId="594E9A84">
                  <wp:simplePos x="0" y="0"/>
                  <wp:positionH relativeFrom="column">
                    <wp:posOffset>4706278</wp:posOffset>
                  </wp:positionH>
                  <wp:positionV relativeFrom="paragraph">
                    <wp:posOffset>200513</wp:posOffset>
                  </wp:positionV>
                  <wp:extent cx="879475" cy="439420"/>
                  <wp:effectExtent l="0" t="0" r="0" b="0"/>
                  <wp:wrapTight wrapText="bothSides">
                    <wp:wrapPolygon edited="0">
                      <wp:start x="0" y="0"/>
                      <wp:lineTo x="0" y="20601"/>
                      <wp:lineTo x="21054" y="20601"/>
                      <wp:lineTo x="21054" y="0"/>
                      <wp:lineTo x="0" y="0"/>
                    </wp:wrapPolygon>
                  </wp:wrapTight>
                  <wp:docPr id="1422069654" name="Picture 1" descr="A flag with a red white and blue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91042" name="Picture 1" descr="A flag with a red white and blue flag&#10;&#10;AI-generated content may be incorrec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79475" cy="439420"/>
                          </a:xfrm>
                          <a:prstGeom prst="rect">
                            <a:avLst/>
                          </a:prstGeom>
                        </pic:spPr>
                      </pic:pic>
                    </a:graphicData>
                  </a:graphic>
                  <wp14:sizeRelH relativeFrom="margin">
                    <wp14:pctWidth>0</wp14:pctWidth>
                  </wp14:sizeRelH>
                  <wp14:sizeRelV relativeFrom="margin">
                    <wp14:pctHeight>0</wp14:pctHeight>
                  </wp14:sizeRelV>
                </wp:anchor>
              </w:drawing>
            </w:r>
            <w:r w:rsidRPr="00B44A50" w:rsidR="008F0DBB">
              <w:t>Box</w:t>
            </w:r>
            <w:r w:rsidR="008F0DBB">
              <w:t> </w:t>
            </w:r>
            <w:r w:rsidR="008F0DBB">
              <w:rPr>
                <w:noProof/>
              </w:rPr>
              <w:fldChar w:fldCharType="begin"/>
            </w:r>
            <w:r w:rsidR="008F0DBB">
              <w:rPr>
                <w:noProof/>
              </w:rPr>
              <w:instrText xml:space="preserve"> STYLEREF 1 \s </w:instrText>
            </w:r>
            <w:r w:rsidR="008F0DBB">
              <w:rPr>
                <w:noProof/>
              </w:rPr>
              <w:fldChar w:fldCharType="separate"/>
            </w:r>
            <w:r w:rsidR="00543B3D">
              <w:rPr>
                <w:noProof/>
              </w:rPr>
              <w:t>4</w:t>
            </w:r>
            <w:r w:rsidR="008F0DBB">
              <w:rPr>
                <w:noProof/>
              </w:rPr>
              <w:fldChar w:fldCharType="end"/>
            </w:r>
            <w:r w:rsidR="008F0DBB">
              <w:t>.</w:t>
            </w:r>
            <w:r w:rsidR="008F0DBB">
              <w:rPr>
                <w:noProof/>
              </w:rPr>
              <w:fldChar w:fldCharType="begin"/>
            </w:r>
            <w:r w:rsidR="008F0DBB">
              <w:rPr>
                <w:noProof/>
              </w:rPr>
              <w:instrText xml:space="preserve"> SEQ Box \* ARABIC \s 1 </w:instrText>
            </w:r>
            <w:r w:rsidR="008F0DBB">
              <w:rPr>
                <w:noProof/>
              </w:rPr>
              <w:fldChar w:fldCharType="separate"/>
            </w:r>
            <w:r w:rsidR="00543B3D">
              <w:rPr>
                <w:noProof/>
              </w:rPr>
              <w:t>7</w:t>
            </w:r>
            <w:r w:rsidR="008F0DBB">
              <w:rPr>
                <w:noProof/>
              </w:rPr>
              <w:fldChar w:fldCharType="end"/>
            </w:r>
            <w:bookmarkEnd w:id="146"/>
            <w:r w:rsidR="008F0DBB">
              <w:t xml:space="preserve">. </w:t>
            </w:r>
            <w:r w:rsidR="00A40062">
              <w:t xml:space="preserve">Croatia - </w:t>
            </w:r>
            <w:r w:rsidR="008F0DBB">
              <w:t xml:space="preserve">Clear definition of processing times for </w:t>
            </w:r>
            <w:r>
              <w:t>ID cards</w:t>
            </w:r>
            <w:bookmarkEnd w:id="147"/>
            <w:r>
              <w:t xml:space="preserve"> </w:t>
            </w:r>
          </w:p>
          <w:p w:rsidR="008F0DBB" w:rsidRDefault="005105C2" w14:paraId="783B577D" w14:textId="51826A22">
            <w:pPr>
              <w:pStyle w:val="Para0"/>
            </w:pPr>
            <w:r>
              <w:t xml:space="preserve">Clear processing times have been communicated to citizens requesting an identity card in </w:t>
            </w:r>
            <w:r w:rsidRPr="00832509">
              <w:rPr>
                <w:b/>
                <w:bCs/>
              </w:rPr>
              <w:t>Croatia</w:t>
            </w:r>
            <w:r>
              <w:t xml:space="preserve">. To adapt to different user needs, particularly in relation to time constraints, Croatia has developed three procedures for the issuance of ID cards. </w:t>
            </w:r>
          </w:p>
          <w:p w:rsidR="005105C2" w:rsidP="00213FA6" w:rsidRDefault="00213FA6" w14:paraId="7973FEBA" w14:textId="0611A82A">
            <w:pPr>
              <w:pStyle w:val="Para0"/>
              <w:numPr>
                <w:ilvl w:val="0"/>
                <w:numId w:val="43"/>
              </w:numPr>
            </w:pPr>
            <w:r>
              <w:t xml:space="preserve">An ordinary procedure of 30 days </w:t>
            </w:r>
          </w:p>
          <w:p w:rsidR="00213FA6" w:rsidP="00213FA6" w:rsidRDefault="00213FA6" w14:paraId="69153B8B" w14:textId="7E1AF5D4">
            <w:pPr>
              <w:pStyle w:val="Para0"/>
              <w:numPr>
                <w:ilvl w:val="0"/>
                <w:numId w:val="43"/>
              </w:numPr>
            </w:pPr>
            <w:r>
              <w:t xml:space="preserve">An accelerated procedure of 10 days </w:t>
            </w:r>
          </w:p>
          <w:p w:rsidR="00213FA6" w:rsidP="00213FA6" w:rsidRDefault="00213FA6" w14:paraId="51328BAA" w14:textId="4AF6DAB0">
            <w:pPr>
              <w:pStyle w:val="Para0"/>
              <w:numPr>
                <w:ilvl w:val="0"/>
                <w:numId w:val="43"/>
              </w:numPr>
            </w:pPr>
            <w:r>
              <w:t>A fast procedure of 3 days</w:t>
            </w:r>
          </w:p>
          <w:p w:rsidR="00213FA6" w:rsidP="00213FA6" w:rsidRDefault="00213FA6" w14:paraId="0EEADD34" w14:textId="030A4973">
            <w:pPr>
              <w:pStyle w:val="Para0"/>
            </w:pPr>
            <w:r>
              <w:t xml:space="preserve">By developing different procedures with different delays for receiving the identify card, </w:t>
            </w:r>
            <w:r w:rsidR="00F740DB">
              <w:t>the public administration commits to a maximum delay for issuing the ID card to the user. It is important to note that different fees are charged for each of the three procedures, ranging from 13.27 EUR for the ordinary procedure to 66.36 EUR for the fast procedure.</w:t>
            </w:r>
            <w:r w:rsidR="003F0395">
              <w:t xml:space="preserve"> The user’s reason for requesting a fast procedure is not required by the public administration at the time of the request. This differs </w:t>
            </w:r>
            <w:r w:rsidR="00761977">
              <w:t xml:space="preserve">from </w:t>
            </w:r>
            <w:r w:rsidR="003F0395">
              <w:t xml:space="preserve">other countries where a fast procedure can only be applied in exceptional circumstances. </w:t>
            </w:r>
          </w:p>
          <w:p w:rsidRPr="00775FF9" w:rsidR="008F0DBB" w:rsidRDefault="008F0DBB" w14:paraId="5D639FE7" w14:textId="4C37D348">
            <w:pPr>
              <w:pStyle w:val="Sourcenotes"/>
            </w:pPr>
            <w:r>
              <w:t xml:space="preserve">Source: </w:t>
            </w:r>
            <w:r w:rsidR="00F740DB">
              <w:t>Data collected through TSI Country Mission to Croatia, May 2025</w:t>
            </w:r>
            <w:r w:rsidR="00753548">
              <w:t>.</w:t>
            </w:r>
          </w:p>
        </w:tc>
      </w:tr>
    </w:tbl>
    <w:p w:rsidR="00144972" w:rsidP="00144972" w:rsidRDefault="00144972" w14:paraId="493D6A11" w14:textId="77777777">
      <w:pPr>
        <w:pStyle w:val="Heading2"/>
        <w:rPr>
          <w:lang w:val="en-US"/>
        </w:rPr>
      </w:pPr>
      <w:bookmarkStart w:name="_Toc223413740" w:id="148"/>
      <w:r>
        <w:rPr>
          <w:lang w:val="en-US"/>
        </w:rPr>
        <w:t>Achieving results that are fair and treat everyone equally</w:t>
      </w:r>
      <w:bookmarkEnd w:id="148"/>
    </w:p>
    <w:p w:rsidR="00144972" w:rsidP="000C38BD" w:rsidRDefault="000E41C0" w14:paraId="25DF432A" w14:textId="0FCAC97A">
      <w:pPr>
        <w:pStyle w:val="Para"/>
        <w:numPr>
          <w:ilvl w:val="0"/>
          <w:numId w:val="0"/>
        </w:numPr>
        <w:rPr>
          <w:lang w:val="en-US"/>
        </w:rPr>
      </w:pPr>
      <w:r w:rsidRPr="00832509">
        <w:rPr>
          <w:b/>
          <w:bCs/>
          <w:lang w:val="en-US"/>
        </w:rPr>
        <w:t>Users expect that services treat them fair</w:t>
      </w:r>
      <w:r w:rsidRPr="00832509" w:rsidR="008B285F">
        <w:rPr>
          <w:b/>
          <w:bCs/>
          <w:lang w:val="en-US"/>
        </w:rPr>
        <w:t>ly</w:t>
      </w:r>
      <w:r w:rsidRPr="00832509">
        <w:rPr>
          <w:b/>
          <w:bCs/>
          <w:lang w:val="en-US"/>
        </w:rPr>
        <w:t xml:space="preserve"> and </w:t>
      </w:r>
      <w:r w:rsidRPr="00832509" w:rsidR="0060109E">
        <w:rPr>
          <w:b/>
          <w:bCs/>
          <w:lang w:val="en-US"/>
        </w:rPr>
        <w:t>in the same manner as everyone else.</w:t>
      </w:r>
      <w:r w:rsidRPr="00832509" w:rsidR="00B2266A">
        <w:rPr>
          <w:b/>
          <w:bCs/>
          <w:lang w:val="en-US"/>
        </w:rPr>
        <w:t xml:space="preserve"> </w:t>
      </w:r>
      <w:r w:rsidR="00B2266A">
        <w:rPr>
          <w:lang w:val="en-US"/>
        </w:rPr>
        <w:t>This means</w:t>
      </w:r>
      <w:r w:rsidR="00380B85">
        <w:rPr>
          <w:lang w:val="en-US"/>
        </w:rPr>
        <w:t xml:space="preserve"> </w:t>
      </w:r>
      <w:r w:rsidR="00306C9B">
        <w:rPr>
          <w:lang w:val="en-US"/>
        </w:rPr>
        <w:t xml:space="preserve">everyone can receive the same quality </w:t>
      </w:r>
      <w:r w:rsidR="00413D7A">
        <w:rPr>
          <w:lang w:val="en-US"/>
        </w:rPr>
        <w:t>and exten</w:t>
      </w:r>
      <w:r w:rsidR="003B7C10">
        <w:rPr>
          <w:lang w:val="en-US"/>
        </w:rPr>
        <w:t>t</w:t>
      </w:r>
      <w:r w:rsidR="00413D7A">
        <w:rPr>
          <w:lang w:val="en-US"/>
        </w:rPr>
        <w:t xml:space="preserve"> of </w:t>
      </w:r>
      <w:r w:rsidR="00306C9B">
        <w:rPr>
          <w:lang w:val="en-US"/>
        </w:rPr>
        <w:t xml:space="preserve">services </w:t>
      </w:r>
      <w:r w:rsidR="00F26177">
        <w:rPr>
          <w:lang w:val="en-US"/>
        </w:rPr>
        <w:t>regardless of their individual characteristics</w:t>
      </w:r>
      <w:r w:rsidR="00306C9B">
        <w:rPr>
          <w:lang w:val="en-US"/>
        </w:rPr>
        <w:t xml:space="preserve">. </w:t>
      </w:r>
      <w:r w:rsidR="00920F38">
        <w:rPr>
          <w:lang w:val="en-US"/>
        </w:rPr>
        <w:t xml:space="preserve">This requires fair </w:t>
      </w:r>
      <w:r w:rsidR="00561D1E">
        <w:rPr>
          <w:lang w:val="en-US"/>
        </w:rPr>
        <w:t xml:space="preserve">service design and delivery at all government levels with the service providers upholding the </w:t>
      </w:r>
      <w:r w:rsidR="007440BB">
        <w:rPr>
          <w:lang w:val="en-US"/>
        </w:rPr>
        <w:t xml:space="preserve">principles of </w:t>
      </w:r>
      <w:r w:rsidR="00561D1E">
        <w:rPr>
          <w:lang w:val="en-US"/>
        </w:rPr>
        <w:t xml:space="preserve">good governance </w:t>
      </w:r>
      <w:sdt>
        <w:sdtPr>
          <w:rPr>
            <w:lang w:val="en-US"/>
          </w:rPr>
          <w:id w:val="925686665"/>
          <w:citation/>
        </w:sdtPr>
        <w:sdtEndPr/>
        <w:sdtContent>
          <w:r w:rsidR="006F62A2">
            <w:rPr>
              <w:lang w:val="en-US"/>
            </w:rPr>
            <w:fldChar w:fldCharType="begin"/>
          </w:r>
          <w:r w:rsidR="006F62A2">
            <w:rPr>
              <w:lang w:val="en-US"/>
            </w:rPr>
            <w:instrText xml:space="preserve"> CITATION Mend_e4sgpgfrFjuOO0phTEtveQ \l 2057 </w:instrText>
          </w:r>
          <w:r w:rsidR="006F62A2">
            <w:rPr>
              <w:lang w:val="en-US"/>
            </w:rPr>
            <w:fldChar w:fldCharType="separate"/>
          </w:r>
          <w:r w:rsidRPr="00F86F21" w:rsidR="00F86F21">
            <w:rPr>
              <w:noProof/>
              <w:lang w:val="en-US"/>
            </w:rPr>
            <w:t>(</w:t>
          </w:r>
          <w:bookmarkStart w:name="Mend_e4sgpgfrFjuOO0phTEtveQ_9" w:id="149"/>
          <w:r w:rsidRPr="00F86F21" w:rsidR="00F86F21">
            <w:rPr>
              <w:noProof/>
              <w:lang w:val="en-US"/>
            </w:rPr>
            <w:t>OECD, 2024</w:t>
          </w:r>
          <w:r w:rsidRPr="00F86F21" w:rsidR="00F86F21">
            <w:rPr>
              <w:noProof/>
              <w:vertAlign w:val="subscript"/>
              <w:lang w:val="en-US"/>
            </w:rPr>
            <w:t>[9]</w:t>
          </w:r>
          <w:r w:rsidRPr="00F86F21" w:rsidR="00F86F21">
            <w:rPr>
              <w:noProof/>
              <w:lang w:val="en-US"/>
            </w:rPr>
            <w:t>)</w:t>
          </w:r>
          <w:bookmarkEnd w:id="149"/>
          <w:r w:rsidR="006F62A2">
            <w:rPr>
              <w:lang w:val="en-US"/>
            </w:rPr>
            <w:fldChar w:fldCharType="end"/>
          </w:r>
        </w:sdtContent>
      </w:sdt>
      <w:r w:rsidR="006F62A2">
        <w:rPr>
          <w:lang w:val="en-US"/>
        </w:rPr>
        <w:t>.</w:t>
      </w:r>
    </w:p>
    <w:p w:rsidR="008B285F" w:rsidP="000C38BD" w:rsidRDefault="008B285F" w14:paraId="78B8FFF3" w14:textId="77777777">
      <w:pPr>
        <w:pStyle w:val="Para"/>
        <w:numPr>
          <w:ilvl w:val="0"/>
          <w:numId w:val="0"/>
        </w:numPr>
        <w:rPr>
          <w:lang w:val="en-US"/>
        </w:rPr>
      </w:pPr>
    </w:p>
    <w:tbl>
      <w:tblPr>
        <w:tblStyle w:val="OECD"/>
        <w:tblW w:w="0" w:type="auto"/>
        <w:tblLook w:val="04A0" w:firstRow="1" w:lastRow="0" w:firstColumn="1" w:lastColumn="0" w:noHBand="0" w:noVBand="1"/>
      </w:tblPr>
      <w:tblGrid>
        <w:gridCol w:w="9298"/>
      </w:tblGrid>
      <w:tr w:rsidR="008B285F" w14:paraId="15313C1E" w14:textId="77777777">
        <w:tc>
          <w:tcPr>
            <w:tcW w:w="9298" w:type="dxa"/>
            <w:shd w:val="clear" w:color="auto" w:fill="244061" w:themeFill="accent1" w:themeFillShade="80"/>
          </w:tcPr>
          <w:p w:rsidRPr="00703A21" w:rsidR="008B285F" w:rsidRDefault="008B285F" w14:paraId="6737F140" w14:textId="77777777">
            <w:pPr>
              <w:pStyle w:val="Para0"/>
              <w:jc w:val="center"/>
              <w:rPr>
                <w:b/>
                <w:bCs/>
                <w:color w:val="FFFFFF" w:themeColor="background1"/>
                <w:sz w:val="24"/>
                <w:szCs w:val="24"/>
              </w:rPr>
            </w:pPr>
            <w:r w:rsidRPr="00703A21">
              <w:rPr>
                <w:b/>
                <w:bCs/>
                <w:noProof/>
                <w:color w:val="FFFFFF" w:themeColor="background1"/>
                <w:sz w:val="24"/>
                <w:szCs w:val="24"/>
              </w:rPr>
              <w:drawing>
                <wp:anchor distT="0" distB="0" distL="114300" distR="114300" simplePos="0" relativeHeight="251658252" behindDoc="1" locked="0" layoutInCell="1" allowOverlap="1" wp14:anchorId="1CDBFCA7" wp14:editId="736E6827">
                  <wp:simplePos x="0" y="0"/>
                  <wp:positionH relativeFrom="column">
                    <wp:posOffset>4915535</wp:posOffset>
                  </wp:positionH>
                  <wp:positionV relativeFrom="paragraph">
                    <wp:posOffset>24765</wp:posOffset>
                  </wp:positionV>
                  <wp:extent cx="914400" cy="914400"/>
                  <wp:effectExtent l="0" t="0" r="0" b="0"/>
                  <wp:wrapTight wrapText="bothSides">
                    <wp:wrapPolygon edited="0">
                      <wp:start x="9450" y="450"/>
                      <wp:lineTo x="3150" y="3600"/>
                      <wp:lineTo x="1800" y="4950"/>
                      <wp:lineTo x="900" y="13050"/>
                      <wp:lineTo x="3600" y="15750"/>
                      <wp:lineTo x="4050" y="20700"/>
                      <wp:lineTo x="17100" y="20700"/>
                      <wp:lineTo x="17550" y="18900"/>
                      <wp:lineTo x="16200" y="17550"/>
                      <wp:lineTo x="12150" y="15750"/>
                      <wp:lineTo x="17550" y="15750"/>
                      <wp:lineTo x="20250" y="13050"/>
                      <wp:lineTo x="19800" y="5400"/>
                      <wp:lineTo x="18000" y="3600"/>
                      <wp:lineTo x="11700" y="450"/>
                      <wp:lineTo x="9450" y="450"/>
                    </wp:wrapPolygon>
                  </wp:wrapTight>
                  <wp:docPr id="1328683851" name="Graphic 9" descr="Scales of justice with solid fill">
                    <a:extLst xmlns:a="http://schemas.openxmlformats.org/drawingml/2006/main">
                      <a:ext uri="{FF2B5EF4-FFF2-40B4-BE49-F238E27FC236}">
                        <a16:creationId xmlns:a16="http://schemas.microsoft.com/office/drawing/2014/main" id="{B7C8702F-2BF8-C298-122E-A6D0E747D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683851" name="Graphic 9" descr="Scales of justice with solid fill">
                            <a:extLst>
                              <a:ext uri="{FF2B5EF4-FFF2-40B4-BE49-F238E27FC236}">
                                <a16:creationId xmlns:a16="http://schemas.microsoft.com/office/drawing/2014/main" id="{B7C8702F-2BF8-C298-122E-A6D0E747D968}"/>
                              </a:ext>
                            </a:extLst>
                          </pic:cNvPr>
                          <pic:cNvPicPr>
                            <a:picLocks noChangeAspect="1"/>
                          </pic:cNvPicPr>
                        </pic:nvPicPr>
                        <pic:blipFill>
                          <a:blip r:embed="rId85">
                            <a:extLst>
                              <a:ext uri="{96DAC541-7B7A-43D3-8B79-37D633B846F1}">
                                <asvg:svgBlip xmlns:asvg="http://schemas.microsoft.com/office/drawing/2016/SVG/main" r:embed="rId86"/>
                              </a:ext>
                            </a:extLst>
                          </a:blip>
                          <a:stretch>
                            <a:fillRect/>
                          </a:stretch>
                        </pic:blipFill>
                        <pic:spPr>
                          <a:xfrm>
                            <a:off x="0" y="0"/>
                            <a:ext cx="914400" cy="914400"/>
                          </a:xfrm>
                          <a:prstGeom prst="rect">
                            <a:avLst/>
                          </a:prstGeom>
                        </pic:spPr>
                      </pic:pic>
                    </a:graphicData>
                  </a:graphic>
                </wp:anchor>
              </w:drawing>
            </w:r>
            <w:r w:rsidRPr="00703A21">
              <w:rPr>
                <w:b/>
                <w:bCs/>
                <w:color w:val="FFFFFF" w:themeColor="background1"/>
                <w:sz w:val="24"/>
                <w:szCs w:val="24"/>
              </w:rPr>
              <w:t xml:space="preserve">Spotlight on results from the TSI Satisfaction Survey </w:t>
            </w:r>
          </w:p>
          <w:p w:rsidRPr="00703A21" w:rsidR="008B285F" w:rsidRDefault="008B285F" w14:paraId="682F02CF" w14:textId="5AF6715E">
            <w:pPr>
              <w:pStyle w:val="Para0"/>
              <w:jc w:val="center"/>
              <w:rPr>
                <w:b/>
                <w:bCs/>
                <w:color w:val="FFFFFF" w:themeColor="background1"/>
                <w:sz w:val="24"/>
                <w:szCs w:val="24"/>
              </w:rPr>
            </w:pPr>
            <w:r>
              <w:rPr>
                <w:b/>
                <w:bCs/>
                <w:color w:val="FFFFFF" w:themeColor="background1"/>
                <w:sz w:val="24"/>
                <w:szCs w:val="24"/>
              </w:rPr>
              <w:t xml:space="preserve">Fair Services </w:t>
            </w:r>
          </w:p>
          <w:p w:rsidRPr="00832509" w:rsidR="008B285F" w:rsidRDefault="008B285F" w14:paraId="219E539C" w14:textId="3C9D526C">
            <w:pPr>
              <w:pStyle w:val="Para0"/>
              <w:numPr>
                <w:ilvl w:val="0"/>
                <w:numId w:val="27"/>
              </w:numPr>
              <w:rPr>
                <w:b/>
                <w:bCs/>
                <w:color w:val="FFFFFF" w:themeColor="background1"/>
                <w:lang w:val="en-GB"/>
              </w:rPr>
            </w:pPr>
            <w:r w:rsidRPr="00832509">
              <w:rPr>
                <w:b/>
                <w:bCs/>
                <w:color w:val="FFFFFF" w:themeColor="background1"/>
              </w:rPr>
              <w:t xml:space="preserve">69% of users are satisfied with service fairness across the EU-10. </w:t>
            </w:r>
          </w:p>
          <w:p w:rsidRPr="008B285F" w:rsidR="00086072" w:rsidRDefault="00086072" w14:paraId="03A71A2F" w14:textId="7A6FE0B5">
            <w:pPr>
              <w:pStyle w:val="Para0"/>
              <w:numPr>
                <w:ilvl w:val="0"/>
                <w:numId w:val="27"/>
              </w:numPr>
              <w:rPr>
                <w:color w:val="FFFFFF" w:themeColor="background1"/>
                <w:lang w:val="en-GB"/>
              </w:rPr>
            </w:pPr>
            <w:r w:rsidRPr="00832509">
              <w:rPr>
                <w:b/>
                <w:bCs/>
                <w:color w:val="FFFFFF" w:themeColor="background1"/>
              </w:rPr>
              <w:t xml:space="preserve">A slight variation in satisfaction level for the fairness of services exists in relation to the Life Event experienced by </w:t>
            </w:r>
            <w:r w:rsidR="00774051">
              <w:rPr>
                <w:b/>
                <w:bCs/>
                <w:color w:val="FFFFFF" w:themeColor="background1"/>
                <w:lang w:val="en-GB"/>
              </w:rPr>
              <w:t>u</w:t>
            </w:r>
            <w:r w:rsidRPr="00832509">
              <w:rPr>
                <w:b/>
                <w:bCs/>
                <w:color w:val="FFFFFF" w:themeColor="background1"/>
              </w:rPr>
              <w:t>sers.</w:t>
            </w:r>
            <w:r>
              <w:rPr>
                <w:color w:val="FFFFFF" w:themeColor="background1"/>
                <w:lang w:val="en-GB"/>
              </w:rPr>
              <w:t xml:space="preserve"> </w:t>
            </w:r>
            <w:r w:rsidR="00C74F2A">
              <w:rPr>
                <w:color w:val="FFFFFF" w:themeColor="background1"/>
                <w:lang w:val="en-GB"/>
              </w:rPr>
              <w:t xml:space="preserve">60% of users who lost/were looking for a job were satisfied with the degree to which the services treat everyone equally. </w:t>
            </w:r>
            <w:r w:rsidR="00F906DD">
              <w:rPr>
                <w:color w:val="FFFFFF" w:themeColor="background1"/>
                <w:lang w:val="en-GB"/>
              </w:rPr>
              <w:t xml:space="preserve">While most Life Events are close to the average, users who got or renewed an ID were nine percentage points more satisfied than the average. This higher level of satisfaction can be attached to the delivery of an ID to users regardless of their background as long as they are a citizen in the country. </w:t>
            </w:r>
          </w:p>
          <w:p w:rsidR="008B285F" w:rsidRDefault="008B285F" w14:paraId="7DCE170A" w14:textId="77777777">
            <w:pPr>
              <w:pStyle w:val="Para0"/>
              <w:rPr>
                <w:b/>
                <w:bCs/>
                <w:color w:val="FFFFFF" w:themeColor="background1"/>
              </w:rPr>
            </w:pPr>
          </w:p>
          <w:p w:rsidRPr="001C70FE" w:rsidR="008B285F" w:rsidRDefault="00086072" w14:paraId="6656E6D2" w14:textId="1C32CE2E">
            <w:pPr>
              <w:pStyle w:val="Para0"/>
              <w:jc w:val="center"/>
              <w:rPr>
                <w:color w:val="FFFFFF" w:themeColor="background1"/>
                <w:lang w:val="en-GB"/>
              </w:rPr>
            </w:pPr>
            <w:r>
              <w:rPr>
                <w:noProof/>
                <w:color w:val="FFFFFF" w:themeColor="background1"/>
              </w:rPr>
              <w:drawing>
                <wp:inline distT="0" distB="0" distL="0" distR="0" wp14:anchorId="3C3A6312" wp14:editId="67E15B34">
                  <wp:extent cx="5894070" cy="4483100"/>
                  <wp:effectExtent l="0" t="0" r="0" b="0"/>
                  <wp:docPr id="1886692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b="6540"/>
                          <a:stretch>
                            <a:fillRect/>
                          </a:stretch>
                        </pic:blipFill>
                        <pic:spPr bwMode="auto">
                          <a:xfrm>
                            <a:off x="0" y="0"/>
                            <a:ext cx="5894070" cy="4483100"/>
                          </a:xfrm>
                          <a:prstGeom prst="rect">
                            <a:avLst/>
                          </a:prstGeom>
                          <a:noFill/>
                          <a:ln>
                            <a:noFill/>
                          </a:ln>
                          <a:extLst>
                            <a:ext uri="{53640926-AAD7-44D8-BBD7-CCE9431645EC}">
                              <a14:shadowObscured xmlns:a14="http://schemas.microsoft.com/office/drawing/2010/main"/>
                            </a:ext>
                          </a:extLst>
                        </pic:spPr>
                      </pic:pic>
                    </a:graphicData>
                  </a:graphic>
                </wp:inline>
              </w:drawing>
            </w:r>
          </w:p>
          <w:p w:rsidRPr="00832509" w:rsidR="00102798" w:rsidP="00102798" w:rsidRDefault="00102798" w14:paraId="4162ECAA" w14:textId="7730156E">
            <w:pPr>
              <w:pStyle w:val="Para0"/>
              <w:rPr>
                <w:color w:val="FFFFFF" w:themeColor="background1"/>
                <w:sz w:val="16"/>
                <w:szCs w:val="16"/>
              </w:rPr>
            </w:pPr>
            <w:r w:rsidRPr="00832509">
              <w:rPr>
                <w:color w:val="FFFFFF" w:themeColor="background1"/>
                <w:sz w:val="16"/>
                <w:szCs w:val="16"/>
              </w:rPr>
              <w:t>Note: The dark blue arch represents the average satisfaction level with this driver for user</w:t>
            </w:r>
            <w:r w:rsidR="00430B45">
              <w:rPr>
                <w:color w:val="FFFFFF" w:themeColor="background1"/>
                <w:sz w:val="16"/>
                <w:szCs w:val="16"/>
              </w:rPr>
              <w:t>s</w:t>
            </w:r>
            <w:r w:rsidRPr="00832509">
              <w:rPr>
                <w:color w:val="FFFFFF" w:themeColor="background1"/>
                <w:sz w:val="16"/>
                <w:szCs w:val="16"/>
              </w:rPr>
              <w:t xml:space="preserve"> of all Life Events across the EU-10. The green pointer represents the satisfaction level of the user for this driver when experiencing the specific Life Event. The pointer position shows whether satisfaction for the specific Life Event is higher or lower than the overall average. </w:t>
            </w:r>
          </w:p>
          <w:p w:rsidRPr="00EE7985" w:rsidR="008B285F" w:rsidRDefault="008B285F" w14:paraId="2F456B46" w14:textId="310C7A0A">
            <w:pPr>
              <w:pStyle w:val="Para0"/>
              <w:numPr>
                <w:ilvl w:val="0"/>
                <w:numId w:val="27"/>
              </w:numPr>
              <w:rPr>
                <w:b/>
                <w:bCs/>
                <w:color w:val="FFFFFF" w:themeColor="background1"/>
              </w:rPr>
            </w:pPr>
            <w:r w:rsidRPr="008B285F">
              <w:rPr>
                <w:b/>
                <w:bCs/>
                <w:color w:val="FFFFFF" w:themeColor="background1"/>
              </w:rPr>
              <w:t xml:space="preserve">Older users on average across the EU-10 tend to report higher satisfaction with the degree to which the service treats everyone equally. </w:t>
            </w:r>
            <w:r w:rsidRPr="008B285F">
              <w:rPr>
                <w:color w:val="FFFFFF" w:themeColor="background1"/>
              </w:rPr>
              <w:t>As such, 71% of those aged 50 and above are satisfied, compared to 64% for the 18-29 age group and 68% for the 30-49 age group.</w:t>
            </w:r>
          </w:p>
        </w:tc>
      </w:tr>
    </w:tbl>
    <w:p w:rsidR="000E27FF" w:rsidP="000E27FF" w:rsidRDefault="000E27FF" w14:paraId="540239D1" w14:textId="77777777">
      <w:pPr>
        <w:pStyle w:val="Heading3"/>
        <w:rPr>
          <w:lang w:val="en-US"/>
        </w:rPr>
      </w:pPr>
      <w:r>
        <w:rPr>
          <w:lang w:val="en-US"/>
        </w:rPr>
        <w:t>Country practices and lessons learned</w:t>
      </w:r>
    </w:p>
    <w:p w:rsidR="00102798" w:rsidP="00102798" w:rsidRDefault="00102798" w14:paraId="797AA120" w14:textId="299C82C7">
      <w:pPr>
        <w:pStyle w:val="Para"/>
        <w:numPr>
          <w:ilvl w:val="0"/>
          <w:numId w:val="0"/>
        </w:numPr>
        <w:rPr>
          <w:lang w:val="en-US"/>
        </w:rPr>
      </w:pPr>
      <w:bookmarkStart w:name="_Ref214033500" w:id="150"/>
      <w:r w:rsidRPr="00D54904">
        <w:rPr>
          <w:b/>
          <w:bCs/>
          <w:lang w:val="en-US"/>
        </w:rPr>
        <w:t>EU-10 countries</w:t>
      </w:r>
      <w:r>
        <w:rPr>
          <w:b/>
          <w:bCs/>
          <w:lang w:val="en-US"/>
        </w:rPr>
        <w:t xml:space="preserve"> are working to improve the</w:t>
      </w:r>
      <w:r w:rsidRPr="00D54904">
        <w:rPr>
          <w:b/>
          <w:bCs/>
          <w:lang w:val="en-US"/>
        </w:rPr>
        <w:t>ir strategies to foster equitable service outcomes</w:t>
      </w:r>
      <w:r>
        <w:rPr>
          <w:b/>
          <w:bCs/>
          <w:lang w:val="en-US"/>
        </w:rPr>
        <w:t xml:space="preserve"> across the entire territory of the country, and</w:t>
      </w:r>
      <w:r w:rsidRPr="00D54904">
        <w:rPr>
          <w:b/>
          <w:bCs/>
          <w:lang w:val="en-US"/>
        </w:rPr>
        <w:t xml:space="preserve"> for society’s most vulnerable groups</w:t>
      </w:r>
      <w:r>
        <w:rPr>
          <w:lang w:val="en-US"/>
        </w:rPr>
        <w:t>. The Serving Citizens Survey has shown that only 4 out of 10 EU countries include consultation with vulnerable groups in their public service strategy (</w:t>
      </w:r>
      <w:r>
        <w:rPr>
          <w:lang w:val="en-US"/>
        </w:rPr>
        <w:fldChar w:fldCharType="begin"/>
      </w:r>
      <w:r>
        <w:rPr>
          <w:lang w:val="en-US"/>
        </w:rPr>
        <w:instrText xml:space="preserve"> REF _Ref215415830 \h </w:instrText>
      </w:r>
      <w:r>
        <w:rPr>
          <w:lang w:val="en-US"/>
        </w:rPr>
      </w:r>
      <w:r>
        <w:rPr>
          <w:lang w:val="en-US"/>
        </w:rPr>
        <w:fldChar w:fldCharType="separate"/>
      </w:r>
      <w:r w:rsidR="00543B3D">
        <w:t>Figure </w:t>
      </w:r>
      <w:r w:rsidR="00543B3D">
        <w:rPr>
          <w:noProof/>
        </w:rPr>
        <w:t>4</w:t>
      </w:r>
      <w:r w:rsidR="00543B3D">
        <w:t>.</w:t>
      </w:r>
      <w:r w:rsidR="00543B3D">
        <w:rPr>
          <w:noProof/>
        </w:rPr>
        <w:t>2</w:t>
      </w:r>
      <w:r>
        <w:rPr>
          <w:lang w:val="en-US"/>
        </w:rPr>
        <w:fldChar w:fldCharType="end"/>
      </w:r>
      <w:r>
        <w:rPr>
          <w:lang w:val="en-US"/>
        </w:rPr>
        <w:t>).</w:t>
      </w:r>
      <w:r w:rsidR="00BD137F">
        <w:rPr>
          <w:lang w:val="en-US"/>
        </w:rPr>
        <w:t xml:space="preserve"> </w:t>
      </w:r>
      <w:r>
        <w:rPr>
          <w:lang w:val="en-US"/>
        </w:rPr>
        <w:t xml:space="preserve">Equitable service design and delivery require certain adjustments to remove barriers that exist for vulnerable groups but not others, reinforcing equal treatment and service outcomes. </w:t>
      </w:r>
    </w:p>
    <w:p w:rsidR="00102798" w:rsidP="00102798" w:rsidRDefault="00102798" w14:paraId="7084538A" w14:textId="403AE9F0">
      <w:pPr>
        <w:pStyle w:val="Caption"/>
      </w:pPr>
      <w:bookmarkStart w:name="_Ref215415830" w:id="151"/>
      <w:bookmarkStart w:name="_Toc223413772" w:id="152"/>
      <w:r>
        <w:t>Figure </w:t>
      </w:r>
      <w:r>
        <w:rPr>
          <w:noProof/>
        </w:rPr>
        <w:fldChar w:fldCharType="begin"/>
      </w:r>
      <w:r>
        <w:rPr>
          <w:noProof/>
        </w:rPr>
        <w:instrText xml:space="preserve"> STYLEREF 1 \s </w:instrText>
      </w:r>
      <w:r>
        <w:rPr>
          <w:noProof/>
        </w:rPr>
        <w:fldChar w:fldCharType="separate"/>
      </w:r>
      <w:r w:rsidR="00543B3D">
        <w:rPr>
          <w:noProof/>
        </w:rPr>
        <w:t>4</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2</w:t>
      </w:r>
      <w:r>
        <w:rPr>
          <w:noProof/>
        </w:rPr>
        <w:fldChar w:fldCharType="end"/>
      </w:r>
      <w:bookmarkEnd w:id="150"/>
      <w:bookmarkEnd w:id="151"/>
      <w:r>
        <w:t>. Aspects included in service strategy, Serving Citizens 2024</w:t>
      </w:r>
      <w:bookmarkEnd w:id="152"/>
    </w:p>
    <w:p w:rsidR="00102798" w:rsidP="00102798" w:rsidRDefault="00102798" w14:paraId="6AFD2581" w14:textId="77777777">
      <w:pPr>
        <w:pStyle w:val="Figure"/>
        <w:rPr>
          <w:i/>
        </w:rPr>
      </w:pPr>
      <w:r>
        <w:rPr>
          <w:i/>
          <w:noProof/>
        </w:rPr>
        <w:drawing>
          <wp:inline distT="0" distB="0" distL="0" distR="0" wp14:anchorId="02AA9800" wp14:editId="57CAC5F5">
            <wp:extent cx="4878562" cy="3415467"/>
            <wp:effectExtent l="0" t="0" r="0" b="0"/>
            <wp:docPr id="706581282" name="Picture 3" descr="A graph of blue rectangular object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81282" name="Picture 3" descr="A graph of blue rectangular objects with white text&#10;&#10;AI-generated content may be incorrect."/>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904102" cy="3433347"/>
                    </a:xfrm>
                    <a:prstGeom prst="rect">
                      <a:avLst/>
                    </a:prstGeom>
                    <a:noFill/>
                    <a:ln>
                      <a:noFill/>
                    </a:ln>
                  </pic:spPr>
                </pic:pic>
              </a:graphicData>
            </a:graphic>
          </wp:inline>
        </w:drawing>
      </w:r>
    </w:p>
    <w:p w:rsidR="00102798" w:rsidP="00102798" w:rsidRDefault="00102798" w14:paraId="031A2F94" w14:textId="0CA7A176">
      <w:pPr>
        <w:pStyle w:val="Sourcenotes"/>
      </w:pPr>
      <w:r w:rsidRPr="004802B4">
        <w:t xml:space="preserve">Source: </w:t>
      </w:r>
      <w:r w:rsidR="001E5D7B">
        <w:t>OECD Serving Citizens (Forthcoming)</w:t>
      </w:r>
      <w:r w:rsidR="00430B45">
        <w:t>.</w:t>
      </w:r>
    </w:p>
    <w:p w:rsidR="00E16A90" w:rsidP="00E16A90" w:rsidRDefault="000A0851" w14:paraId="0C869B0F" w14:textId="75E39A80">
      <w:pPr>
        <w:pStyle w:val="Para"/>
        <w:numPr>
          <w:ilvl w:val="0"/>
          <w:numId w:val="0"/>
        </w:numPr>
      </w:pPr>
      <w:r w:rsidRPr="00832509">
        <w:rPr>
          <w:b/>
          <w:bCs/>
        </w:rPr>
        <w:t>The provision of fair services also requires users to be informed of the decision taken.</w:t>
      </w:r>
      <w:r>
        <w:t xml:space="preserve"> </w:t>
      </w:r>
      <w:r w:rsidR="00E16A90">
        <w:t>When users request public services through Life Events, for example child benefits, unemployment benefits, it might not always be the case that they receive what they requested due to eligibility requirements. On average, 69% of all users across the EU-10 agreed that they received clear information about why the decision was made</w:t>
      </w:r>
      <w:r w:rsidR="00BD137F">
        <w:t xml:space="preserve"> </w:t>
      </w:r>
      <w:r w:rsidR="00E16A90">
        <w:t>(</w:t>
      </w:r>
      <w:r w:rsidR="00E16A90">
        <w:fldChar w:fldCharType="begin"/>
      </w:r>
      <w:r w:rsidR="00E16A90">
        <w:instrText xml:space="preserve"> REF _Ref215416589 \h </w:instrText>
      </w:r>
      <w:r w:rsidR="00E16A90">
        <w:fldChar w:fldCharType="separate"/>
      </w:r>
      <w:r w:rsidR="00543B3D">
        <w:t>Figure </w:t>
      </w:r>
      <w:r w:rsidR="00543B3D">
        <w:rPr>
          <w:noProof/>
        </w:rPr>
        <w:t>4</w:t>
      </w:r>
      <w:r w:rsidR="00543B3D">
        <w:t>.</w:t>
      </w:r>
      <w:r w:rsidR="00543B3D">
        <w:rPr>
          <w:noProof/>
        </w:rPr>
        <w:t>3</w:t>
      </w:r>
      <w:r w:rsidR="00E16A90">
        <w:fldChar w:fldCharType="end"/>
      </w:r>
      <w:r w:rsidR="00E16A90">
        <w:t xml:space="preserve">). </w:t>
      </w:r>
    </w:p>
    <w:p w:rsidRPr="00F76931" w:rsidR="00075058" w:rsidP="00075058" w:rsidRDefault="00075058" w14:paraId="3CA496C6" w14:textId="2E256AFB">
      <w:pPr>
        <w:pStyle w:val="Para"/>
        <w:numPr>
          <w:ilvl w:val="0"/>
          <w:numId w:val="0"/>
        </w:numPr>
        <w:rPr>
          <w:lang w:val="en-US"/>
        </w:rPr>
      </w:pPr>
      <w:r w:rsidRPr="00832509">
        <w:rPr>
          <w:b/>
          <w:bCs/>
          <w:lang w:val="en-US"/>
        </w:rPr>
        <w:t>A variation exists with regard to the level of satisfaction depending on the Life Event.</w:t>
      </w:r>
      <w:r>
        <w:rPr>
          <w:lang w:val="en-US"/>
        </w:rPr>
        <w:t xml:space="preserve"> A lower percentage of users agreed that they received clear information as to why the decision was made when they experienced the Life Event (i) Moved to a new house or to a new city (61%), (ii) lost a loved one (63%) and lost/looking for a job (64%). A higher number of users agreed with this statement when they experienced the Life Event (i) Got or renewed an official ID document (75%), (ii) retired (75%) and (ii) got or renewed a driving license (76%). </w:t>
      </w:r>
    </w:p>
    <w:p w:rsidR="00075058" w:rsidP="00075058" w:rsidRDefault="00075058" w14:paraId="1139002D" w14:textId="646A3219">
      <w:pPr>
        <w:pStyle w:val="Para"/>
        <w:numPr>
          <w:ilvl w:val="0"/>
          <w:numId w:val="0"/>
        </w:numPr>
      </w:pPr>
      <w:r w:rsidRPr="00832509">
        <w:rPr>
          <w:b/>
          <w:bCs/>
        </w:rPr>
        <w:t>Ensuring the access of services to vulnerable population</w:t>
      </w:r>
      <w:r>
        <w:rPr>
          <w:b/>
          <w:bCs/>
        </w:rPr>
        <w:t xml:space="preserve"> groups</w:t>
      </w:r>
      <w:r w:rsidRPr="00832509">
        <w:rPr>
          <w:b/>
          <w:bCs/>
        </w:rPr>
        <w:t xml:space="preserve"> is a cornerstone of the fairness of services. </w:t>
      </w:r>
      <w:r>
        <w:t xml:space="preserve">Finland has for instance created </w:t>
      </w:r>
      <w:r w:rsidR="00D26FD9">
        <w:t xml:space="preserve">a </w:t>
      </w:r>
      <w:r>
        <w:t>specific service design and delivery approach for young citizens (</w:t>
      </w:r>
      <w:r>
        <w:fldChar w:fldCharType="begin"/>
      </w:r>
      <w:r>
        <w:instrText xml:space="preserve"> REF _Ref215430363 \h </w:instrText>
      </w:r>
      <w:r>
        <w:fldChar w:fldCharType="separate"/>
      </w:r>
      <w:r w:rsidRPr="00B44A50" w:rsidR="00543B3D">
        <w:t>Box</w:t>
      </w:r>
      <w:r w:rsidR="00543B3D">
        <w:t> </w:t>
      </w:r>
      <w:r w:rsidR="00543B3D">
        <w:rPr>
          <w:noProof/>
        </w:rPr>
        <w:t>4</w:t>
      </w:r>
      <w:r w:rsidR="00543B3D">
        <w:t>.</w:t>
      </w:r>
      <w:r w:rsidR="00543B3D">
        <w:rPr>
          <w:noProof/>
        </w:rPr>
        <w:t>8</w:t>
      </w:r>
      <w:r>
        <w:fldChar w:fldCharType="end"/>
      </w:r>
      <w:r>
        <w:t xml:space="preserve">). This can also include the need to develop platforms and procedures in specific languages depending on the audience. For instance for the Life Event </w:t>
      </w:r>
      <w:r w:rsidR="00D26FD9">
        <w:t>‘</w:t>
      </w:r>
      <w:r>
        <w:t>I became a student</w:t>
      </w:r>
      <w:r w:rsidR="00D26FD9">
        <w:t>’</w:t>
      </w:r>
      <w:r>
        <w:t>, Slovenia has included different languages, in addition to Slovenia</w:t>
      </w:r>
      <w:r w:rsidR="00D26FD9">
        <w:t>n</w:t>
      </w:r>
      <w:r>
        <w:t xml:space="preserve"> and English, in its online enrolment procedure for higher education (</w:t>
      </w:r>
      <w:r w:rsidRPr="00024DD1">
        <w:t>eVŠ web portal</w:t>
      </w:r>
      <w:r>
        <w:t xml:space="preserve">) as many students from neighbouring, non-EU Member States also apply and pursue their studies in Slovenia’s higher education system </w:t>
      </w:r>
      <w:sdt>
        <w:sdtPr>
          <w:id w:val="198063257"/>
          <w:citation/>
        </w:sdtPr>
        <w:sdtEndPr/>
        <w:sdtContent>
          <w:r>
            <w:fldChar w:fldCharType="begin"/>
          </w:r>
          <w:r w:rsidRPr="001C521D">
            <w:rPr>
              <w:lang w:val="en-US"/>
            </w:rPr>
            <w:instrText xml:space="preserve"> CITATION Slo25 \l 1036 </w:instrText>
          </w:r>
          <w:r>
            <w:fldChar w:fldCharType="separate"/>
          </w:r>
          <w:r w:rsidRPr="00F86F21" w:rsidR="00F86F21">
            <w:rPr>
              <w:noProof/>
              <w:lang w:val="en-US"/>
            </w:rPr>
            <w:t>(</w:t>
          </w:r>
          <w:bookmarkStart w:name="Slo25_25" w:id="153"/>
          <w:r w:rsidRPr="00F86F21" w:rsidR="00F86F21">
            <w:rPr>
              <w:noProof/>
              <w:lang w:val="en-US"/>
            </w:rPr>
            <w:t>Slovenia's Ministry of Higher Education, Science and Innovation, 2025</w:t>
          </w:r>
          <w:r w:rsidRPr="00F86F21" w:rsidR="00F86F21">
            <w:rPr>
              <w:noProof/>
              <w:vertAlign w:val="subscript"/>
              <w:lang w:val="en-US"/>
            </w:rPr>
            <w:t>[25]</w:t>
          </w:r>
          <w:r w:rsidRPr="00F86F21" w:rsidR="00F86F21">
            <w:rPr>
              <w:noProof/>
              <w:lang w:val="en-US"/>
            </w:rPr>
            <w:t>)</w:t>
          </w:r>
          <w:bookmarkEnd w:id="153"/>
          <w:r>
            <w:fldChar w:fldCharType="end"/>
          </w:r>
        </w:sdtContent>
      </w:sdt>
      <w:r>
        <w:t>.</w:t>
      </w:r>
    </w:p>
    <w:p w:rsidRPr="00E16A90" w:rsidR="00075058" w:rsidP="00E16A90" w:rsidRDefault="00075058" w14:paraId="175EA320" w14:textId="77777777">
      <w:pPr>
        <w:pStyle w:val="Para"/>
        <w:numPr>
          <w:ilvl w:val="0"/>
          <w:numId w:val="0"/>
        </w:numPr>
      </w:pPr>
    </w:p>
    <w:p w:rsidR="00102798" w:rsidP="00102798" w:rsidRDefault="00102798" w14:paraId="782D8E6C" w14:textId="720BD685">
      <w:pPr>
        <w:pStyle w:val="Caption"/>
      </w:pPr>
      <w:bookmarkStart w:name="_Ref215416589" w:id="154"/>
      <w:bookmarkStart w:name="_Toc223413773" w:id="155"/>
      <w:r>
        <w:t>Figure </w:t>
      </w:r>
      <w:r>
        <w:rPr>
          <w:noProof/>
        </w:rPr>
        <w:fldChar w:fldCharType="begin"/>
      </w:r>
      <w:r>
        <w:rPr>
          <w:noProof/>
        </w:rPr>
        <w:instrText xml:space="preserve"> STYLEREF 1 \s </w:instrText>
      </w:r>
      <w:r>
        <w:rPr>
          <w:noProof/>
        </w:rPr>
        <w:fldChar w:fldCharType="separate"/>
      </w:r>
      <w:r w:rsidR="00543B3D">
        <w:rPr>
          <w:noProof/>
        </w:rPr>
        <w:t>4</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3</w:t>
      </w:r>
      <w:r>
        <w:rPr>
          <w:noProof/>
        </w:rPr>
        <w:fldChar w:fldCharType="end"/>
      </w:r>
      <w:bookmarkEnd w:id="154"/>
      <w:r>
        <w:t>. 69% of users across EU10 agree that they received clear information about why decision was made</w:t>
      </w:r>
      <w:bookmarkEnd w:id="155"/>
      <w:r>
        <w:t xml:space="preserve"> </w:t>
      </w:r>
    </w:p>
    <w:p w:rsidRPr="007B0331" w:rsidR="00102798" w:rsidP="00102798" w:rsidRDefault="00102798" w14:paraId="06BDAE96" w14:textId="77777777">
      <w:pPr>
        <w:pStyle w:val="CaptionSubtitle"/>
        <w:rPr>
          <w:lang w:val="en-US"/>
        </w:rPr>
      </w:pPr>
      <w:r w:rsidRPr="006E538F">
        <w:t xml:space="preserve">Share of users who </w:t>
      </w:r>
      <w:r>
        <w:t xml:space="preserve">agree or disagree that information on why decision was taken was clear, </w:t>
      </w:r>
      <w:r w:rsidRPr="006E538F">
        <w:t>on a scale 1-5.</w:t>
      </w:r>
      <w:r w:rsidRPr="007B0331">
        <w:t xml:space="preserve"> </w:t>
      </w:r>
    </w:p>
    <w:p w:rsidR="00102798" w:rsidP="00102798" w:rsidRDefault="00102798" w14:paraId="35DF72F4" w14:textId="77777777">
      <w:pPr>
        <w:pStyle w:val="Figure"/>
        <w:rPr>
          <w:noProof/>
        </w:rPr>
      </w:pPr>
      <w:r>
        <w:rPr>
          <w:noProof/>
        </w:rPr>
        <w:drawing>
          <wp:inline distT="0" distB="0" distL="0" distR="0" wp14:anchorId="4509E6E4" wp14:editId="56B804C1">
            <wp:extent cx="4883848" cy="3014980"/>
            <wp:effectExtent l="0" t="0" r="0" b="0"/>
            <wp:docPr id="20476225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893135" cy="3020713"/>
                    </a:xfrm>
                    <a:prstGeom prst="rect">
                      <a:avLst/>
                    </a:prstGeom>
                    <a:noFill/>
                    <a:ln>
                      <a:noFill/>
                    </a:ln>
                  </pic:spPr>
                </pic:pic>
              </a:graphicData>
            </a:graphic>
          </wp:inline>
        </w:drawing>
      </w:r>
    </w:p>
    <w:p w:rsidRPr="004802B4" w:rsidR="00102798" w:rsidP="00832509" w:rsidRDefault="00102798" w14:paraId="5849D8E6" w14:textId="3E2BAEC9">
      <w:pPr>
        <w:pStyle w:val="Sourcenotes"/>
        <w:spacing w:after="0"/>
      </w:pPr>
      <w:r w:rsidRPr="004802B4">
        <w:t xml:space="preserve">Note: </w:t>
      </w:r>
      <w:r>
        <w:t>The question asked was “</w:t>
      </w:r>
      <w:r w:rsidRPr="001F169A">
        <w:t xml:space="preserve">Thinking about your experience </w:t>
      </w:r>
      <w:r w:rsidRPr="00A40062">
        <w:t xml:space="preserve">with </w:t>
      </w:r>
      <w:r w:rsidR="00075058">
        <w:t>[</w:t>
      </w:r>
      <w:r w:rsidRPr="00A40062">
        <w:t>Life</w:t>
      </w:r>
      <w:r w:rsidR="00075058">
        <w:t xml:space="preserve"> </w:t>
      </w:r>
      <w:r w:rsidRPr="00A40062">
        <w:t>Event</w:t>
      </w:r>
      <w:r w:rsidR="00075058">
        <w:t>]</w:t>
      </w:r>
      <w:r w:rsidRPr="00A40062">
        <w:t>,</w:t>
      </w:r>
      <w:r w:rsidRPr="001F169A">
        <w:t xml:space="preserve"> to what extent do you agree with the following statement:</w:t>
      </w:r>
      <w:r>
        <w:t xml:space="preserve"> </w:t>
      </w:r>
      <w:r w:rsidRPr="008947AC">
        <w:t>I received clear information as to why the decision were made</w:t>
      </w:r>
      <w:r>
        <w:t>”</w:t>
      </w:r>
    </w:p>
    <w:p w:rsidRPr="000458EA" w:rsidR="00F876EA" w:rsidP="00832509" w:rsidRDefault="00102798" w14:paraId="42029A90" w14:textId="250FC8CB">
      <w:pPr>
        <w:pStyle w:val="Sourcenotes"/>
      </w:pPr>
      <w:r w:rsidRPr="00BA0453">
        <w:rPr>
          <w:lang w:val="en-US"/>
        </w:rPr>
        <w:t xml:space="preserve">Source: </w:t>
      </w:r>
      <w:sdt>
        <w:sdtPr>
          <w:id w:val="1068146501"/>
          <w:citation/>
        </w:sdtPr>
        <w:sdtEndPr/>
        <w:sdtContent>
          <w:r>
            <w:fldChar w:fldCharType="begin"/>
          </w:r>
          <w:r w:rsidRPr="00BA0453">
            <w:rPr>
              <w:lang w:val="en-US"/>
            </w:rPr>
            <w:instrText xml:space="preserve"> CITATION Mend_I5iOc2w6yDG7UBAYJdq___g \l 2057 </w:instrText>
          </w:r>
          <w:r>
            <w:fldChar w:fldCharType="separate"/>
          </w:r>
          <w:r w:rsidRPr="00F86F21" w:rsidR="00F86F21">
            <w:rPr>
              <w:noProof/>
              <w:lang w:val="en-US"/>
            </w:rPr>
            <w:t>(</w:t>
          </w:r>
          <w:bookmarkStart w:name="Mend_I5iOc2w6yDG7UBAYJdq___g_15" w:id="156"/>
          <w:r w:rsidRPr="00F86F21" w:rsidR="00F86F21">
            <w:rPr>
              <w:noProof/>
              <w:lang w:val="en-US"/>
            </w:rPr>
            <w:t>OECD, 2024</w:t>
          </w:r>
          <w:r w:rsidRPr="00F86F21" w:rsidR="00F86F21">
            <w:rPr>
              <w:noProof/>
              <w:vertAlign w:val="subscript"/>
              <w:lang w:val="en-US"/>
            </w:rPr>
            <w:t>[15]</w:t>
          </w:r>
          <w:r w:rsidRPr="00F86F21" w:rsidR="00F86F21">
            <w:rPr>
              <w:noProof/>
              <w:lang w:val="en-US"/>
            </w:rPr>
            <w:t>)</w:t>
          </w:r>
          <w:bookmarkEnd w:id="156"/>
          <w:r>
            <w:fldChar w:fldCharType="end"/>
          </w:r>
        </w:sdtContent>
      </w:sdt>
      <w:r w:rsidRPr="00BA0453">
        <w:rPr>
          <w:lang w:val="en-US"/>
        </w:rPr>
        <w:t>.</w:t>
      </w:r>
      <w:r w:rsidR="00D26FD9">
        <w:rPr>
          <w:lang w:val="en-US"/>
        </w:rPr>
        <w:t xml:space="preserve">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5D33CD" w14:paraId="73281178"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5D33CD" w:rsidRDefault="00B83B37" w14:paraId="2E1DD361" w14:textId="30196FA5">
            <w:pPr>
              <w:pStyle w:val="Caption"/>
            </w:pPr>
            <w:bookmarkStart w:name="_Ref215430363" w:id="157"/>
            <w:bookmarkStart w:name="_Toc223413829" w:id="158"/>
            <w:r>
              <w:rPr>
                <w:noProof/>
              </w:rPr>
              <w:drawing>
                <wp:anchor distT="0" distB="0" distL="114300" distR="114300" simplePos="0" relativeHeight="251658244" behindDoc="1" locked="0" layoutInCell="1" allowOverlap="1" wp14:anchorId="58FCD00D" wp14:editId="77535EF3">
                  <wp:simplePos x="0" y="0"/>
                  <wp:positionH relativeFrom="column">
                    <wp:posOffset>4755515</wp:posOffset>
                  </wp:positionH>
                  <wp:positionV relativeFrom="paragraph">
                    <wp:posOffset>63500</wp:posOffset>
                  </wp:positionV>
                  <wp:extent cx="995045" cy="608965"/>
                  <wp:effectExtent l="0" t="0" r="0" b="635"/>
                  <wp:wrapTight wrapText="bothSides">
                    <wp:wrapPolygon edited="0">
                      <wp:start x="0" y="0"/>
                      <wp:lineTo x="0" y="20947"/>
                      <wp:lineTo x="21090" y="20947"/>
                      <wp:lineTo x="21090" y="0"/>
                      <wp:lineTo x="0" y="0"/>
                    </wp:wrapPolygon>
                  </wp:wrapTight>
                  <wp:docPr id="720699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72188"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95045" cy="608965"/>
                          </a:xfrm>
                          <a:prstGeom prst="rect">
                            <a:avLst/>
                          </a:prstGeom>
                        </pic:spPr>
                      </pic:pic>
                    </a:graphicData>
                  </a:graphic>
                </wp:anchor>
              </w:drawing>
            </w:r>
            <w:r w:rsidRPr="00B44A50" w:rsidR="005D33CD">
              <w:t>Box</w:t>
            </w:r>
            <w:r w:rsidR="005D33CD">
              <w:t> </w:t>
            </w:r>
            <w:r w:rsidR="005D33CD">
              <w:rPr>
                <w:noProof/>
              </w:rPr>
              <w:fldChar w:fldCharType="begin"/>
            </w:r>
            <w:r w:rsidR="005D33CD">
              <w:rPr>
                <w:noProof/>
              </w:rPr>
              <w:instrText xml:space="preserve"> STYLEREF 1 \s </w:instrText>
            </w:r>
            <w:r w:rsidR="005D33CD">
              <w:rPr>
                <w:noProof/>
              </w:rPr>
              <w:fldChar w:fldCharType="separate"/>
            </w:r>
            <w:r w:rsidR="00543B3D">
              <w:rPr>
                <w:noProof/>
              </w:rPr>
              <w:t>4</w:t>
            </w:r>
            <w:r w:rsidR="005D33CD">
              <w:rPr>
                <w:noProof/>
              </w:rPr>
              <w:fldChar w:fldCharType="end"/>
            </w:r>
            <w:r w:rsidR="005D33CD">
              <w:t>.</w:t>
            </w:r>
            <w:r w:rsidR="005D33CD">
              <w:rPr>
                <w:noProof/>
              </w:rPr>
              <w:fldChar w:fldCharType="begin"/>
            </w:r>
            <w:r w:rsidR="005D33CD">
              <w:rPr>
                <w:noProof/>
              </w:rPr>
              <w:instrText xml:space="preserve"> SEQ Box \* ARABIC \s 1 </w:instrText>
            </w:r>
            <w:r w:rsidR="005D33CD">
              <w:rPr>
                <w:noProof/>
              </w:rPr>
              <w:fldChar w:fldCharType="separate"/>
            </w:r>
            <w:r w:rsidR="00543B3D">
              <w:rPr>
                <w:noProof/>
              </w:rPr>
              <w:t>8</w:t>
            </w:r>
            <w:r w:rsidR="005D33CD">
              <w:rPr>
                <w:noProof/>
              </w:rPr>
              <w:fldChar w:fldCharType="end"/>
            </w:r>
            <w:bookmarkEnd w:id="157"/>
            <w:r w:rsidR="005D33CD">
              <w:t xml:space="preserve">. </w:t>
            </w:r>
            <w:r w:rsidR="00A40062">
              <w:t xml:space="preserve">Finland - </w:t>
            </w:r>
            <w:r w:rsidR="005D33CD">
              <w:t>Service design and delivery for vulnerable groups</w:t>
            </w:r>
            <w:bookmarkEnd w:id="158"/>
            <w:r>
              <w:t xml:space="preserve"> </w:t>
            </w:r>
          </w:p>
          <w:p w:rsidRPr="00FE0128" w:rsidR="00987CC5" w:rsidP="00832509" w:rsidRDefault="00987CC5" w14:paraId="1540251B" w14:textId="77777777">
            <w:pPr>
              <w:pStyle w:val="CaptionSubtitle"/>
              <w:jc w:val="both"/>
              <w:rPr>
                <w:rFonts w:asciiTheme="minorHAnsi" w:hAnsiTheme="minorHAnsi" w:cstheme="minorHAnsi"/>
                <w:sz w:val="20"/>
                <w:szCs w:val="20"/>
              </w:rPr>
            </w:pPr>
            <w:r w:rsidRPr="00832509">
              <w:rPr>
                <w:rFonts w:asciiTheme="minorHAnsi" w:hAnsiTheme="minorHAnsi" w:cstheme="minorHAnsi"/>
                <w:b/>
                <w:sz w:val="20"/>
                <w:szCs w:val="20"/>
              </w:rPr>
              <w:t>Finland</w:t>
            </w:r>
            <w:r w:rsidRPr="00FE0128">
              <w:rPr>
                <w:rFonts w:asciiTheme="minorHAnsi" w:hAnsiTheme="minorHAnsi" w:cstheme="minorHAnsi"/>
                <w:sz w:val="20"/>
                <w:szCs w:val="20"/>
              </w:rPr>
              <w:t>’s Social Insurance Institution (Kela) has developed a tailored service model for young people with persistent income-support needs. Although this group represents only about 1% of all Kela customers (around 67,000 individuals), it accounts for almost a quarter of total costs and uses over a quarter of Kela’s services. Roughly one-third of this group—about 21,000 people—are young adults, forming the focus of the pilot.</w:t>
            </w:r>
          </w:p>
          <w:p w:rsidRPr="00FE0128" w:rsidR="00987CC5" w:rsidP="00832509" w:rsidRDefault="00987CC5" w14:paraId="58DC384D" w14:textId="398176D6">
            <w:pPr>
              <w:pStyle w:val="CaptionSubtitle"/>
              <w:jc w:val="both"/>
              <w:rPr>
                <w:rFonts w:asciiTheme="minorHAnsi" w:hAnsiTheme="minorHAnsi" w:cstheme="minorHAnsi"/>
                <w:sz w:val="20"/>
                <w:szCs w:val="20"/>
              </w:rPr>
            </w:pPr>
            <w:r w:rsidRPr="00FE0128">
              <w:rPr>
                <w:rFonts w:asciiTheme="minorHAnsi" w:hAnsiTheme="minorHAnsi" w:cstheme="minorHAnsi"/>
                <w:sz w:val="20"/>
                <w:szCs w:val="20"/>
              </w:rPr>
              <w:t xml:space="preserve">The model offers a </w:t>
            </w:r>
            <w:r w:rsidRPr="00FE0128" w:rsidR="007A22EF">
              <w:rPr>
                <w:rFonts w:asciiTheme="minorHAnsi" w:hAnsiTheme="minorHAnsi" w:cstheme="minorHAnsi"/>
                <w:sz w:val="20"/>
                <w:szCs w:val="20"/>
              </w:rPr>
              <w:t>single-entry</w:t>
            </w:r>
            <w:r w:rsidRPr="00FE0128">
              <w:rPr>
                <w:rFonts w:asciiTheme="minorHAnsi" w:hAnsiTheme="minorHAnsi" w:cstheme="minorHAnsi"/>
                <w:sz w:val="20"/>
                <w:szCs w:val="20"/>
              </w:rPr>
              <w:t xml:space="preserve"> point for 18–29-year-olds who have received basic social assistance for at least six months. It begins with an assessment of the young person’s overall situation, followed by a structured evaluation of functional capacity, life circumstances and motivation, carried out in collaboration with partner services. Based on this, Kela provides personalised guidance, ensuring access to appropriate benefits and coordinated referrals.</w:t>
            </w:r>
          </w:p>
          <w:p w:rsidR="00953538" w:rsidP="00832509" w:rsidRDefault="00987CC5" w14:paraId="5F5BEF3A" w14:textId="77777777">
            <w:pPr>
              <w:pStyle w:val="CaptionSubtitle"/>
              <w:jc w:val="both"/>
              <w:rPr>
                <w:sz w:val="18"/>
                <w:szCs w:val="18"/>
              </w:rPr>
            </w:pPr>
            <w:r w:rsidRPr="00FE0128">
              <w:rPr>
                <w:rFonts w:asciiTheme="minorHAnsi" w:hAnsiTheme="minorHAnsi" w:cstheme="minorHAnsi"/>
                <w:sz w:val="20"/>
                <w:szCs w:val="20"/>
              </w:rPr>
              <w:t xml:space="preserve">The customer journey includes clear checkpoints and continuous follow-up, ending when the individual’s circumstances </w:t>
            </w:r>
            <w:r w:rsidRPr="00FE0128" w:rsidR="007A22EF">
              <w:rPr>
                <w:rFonts w:asciiTheme="minorHAnsi" w:hAnsiTheme="minorHAnsi" w:cstheme="minorHAnsi"/>
                <w:sz w:val="20"/>
                <w:szCs w:val="20"/>
              </w:rPr>
              <w:t>improve,</w:t>
            </w:r>
            <w:r w:rsidRPr="00FE0128">
              <w:rPr>
                <w:rFonts w:asciiTheme="minorHAnsi" w:hAnsiTheme="minorHAnsi" w:cstheme="minorHAnsi"/>
                <w:sz w:val="20"/>
                <w:szCs w:val="20"/>
              </w:rPr>
              <w:t xml:space="preserve"> and they no longer meet eligibility criteria. The model relies on shared data, coordinated processes and agreed principles of customer interaction to deliver consistent, targeted support.</w:t>
            </w:r>
            <w:r w:rsidRPr="00FE0128">
              <w:rPr>
                <w:sz w:val="18"/>
                <w:szCs w:val="18"/>
              </w:rPr>
              <w:t xml:space="preserve"> </w:t>
            </w:r>
          </w:p>
          <w:p w:rsidRPr="00D26FD9" w:rsidR="00D26FD9" w:rsidP="00832509" w:rsidRDefault="00D26FD9" w14:paraId="74C6368F" w14:textId="101D30BD">
            <w:pPr>
              <w:pStyle w:val="Sourcenotes"/>
            </w:pPr>
            <w:r>
              <w:t>Source: Data collected through TSI Country Mission to Finland, 2025.</w:t>
            </w:r>
          </w:p>
        </w:tc>
      </w:tr>
    </w:tbl>
    <w:p w:rsidR="00FE0128" w:rsidRDefault="00FE0128" w14:paraId="26700100" w14:textId="31E31C64">
      <w:pPr>
        <w:rPr>
          <w:b/>
          <w:iCs/>
        </w:rPr>
      </w:pPr>
    </w:p>
    <w:p w:rsidR="00FE0128" w:rsidP="00FE0128" w:rsidRDefault="00FE0128" w14:paraId="107B9BF9" w14:textId="381BA3B2">
      <w:pPr>
        <w:pStyle w:val="Para"/>
        <w:numPr>
          <w:ilvl w:val="0"/>
          <w:numId w:val="0"/>
        </w:numPr>
      </w:pPr>
      <w:r w:rsidRPr="00FE0128">
        <w:t xml:space="preserve">In relation to the Life Event ‘I became a student’ in Ireland, </w:t>
      </w:r>
      <w:r>
        <w:t>different personas were developed for students in order to consider the vulnerable situations they may find themselves in (</w:t>
      </w:r>
      <w:r>
        <w:fldChar w:fldCharType="begin"/>
      </w:r>
      <w:r>
        <w:instrText xml:space="preserve"> REF _Ref215430720 \h </w:instrText>
      </w:r>
      <w:r>
        <w:fldChar w:fldCharType="separate"/>
      </w:r>
      <w:r w:rsidRPr="00B44A50" w:rsidR="00543B3D">
        <w:t>Box</w:t>
      </w:r>
      <w:r w:rsidR="00543B3D">
        <w:t> </w:t>
      </w:r>
      <w:r w:rsidR="00543B3D">
        <w:rPr>
          <w:noProof/>
        </w:rPr>
        <w:t>4</w:t>
      </w:r>
      <w:r w:rsidR="00543B3D">
        <w:t>.</w:t>
      </w:r>
      <w:r w:rsidR="00543B3D">
        <w:rPr>
          <w:noProof/>
        </w:rPr>
        <w:t>9</w:t>
      </w:r>
      <w:r>
        <w:fldChar w:fldCharType="end"/>
      </w:r>
      <w:r>
        <w:t xml:space="preserve">).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EA6ECC" w14:paraId="2B672144"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EA6ECC" w:rsidRDefault="00FE0128" w14:paraId="716B7A10" w14:textId="439C70C1">
            <w:pPr>
              <w:pStyle w:val="Caption"/>
            </w:pPr>
            <w:bookmarkStart w:name="_Ref215430720" w:id="159"/>
            <w:bookmarkStart w:name="_Toc223413830" w:id="160"/>
            <w:r>
              <w:rPr>
                <w:noProof/>
              </w:rPr>
              <w:drawing>
                <wp:anchor distT="0" distB="0" distL="114300" distR="114300" simplePos="0" relativeHeight="251658277" behindDoc="1" locked="0" layoutInCell="1" allowOverlap="1" wp14:anchorId="5FD4BE5B" wp14:editId="46ABB65F">
                  <wp:simplePos x="0" y="0"/>
                  <wp:positionH relativeFrom="column">
                    <wp:posOffset>4654989</wp:posOffset>
                  </wp:positionH>
                  <wp:positionV relativeFrom="paragraph">
                    <wp:posOffset>206326</wp:posOffset>
                  </wp:positionV>
                  <wp:extent cx="930303" cy="465152"/>
                  <wp:effectExtent l="0" t="0" r="3175" b="0"/>
                  <wp:wrapTight wrapText="bothSides">
                    <wp:wrapPolygon edited="0">
                      <wp:start x="0" y="0"/>
                      <wp:lineTo x="0" y="20361"/>
                      <wp:lineTo x="21231" y="20361"/>
                      <wp:lineTo x="21231" y="0"/>
                      <wp:lineTo x="0" y="0"/>
                    </wp:wrapPolygon>
                  </wp:wrapTight>
                  <wp:docPr id="1877139228" name="Picture 1" descr="A flag of ireland with a white green and orange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87553" name="Picture 1" descr="A flag of ireland with a white green and orange stripe&#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30303" cy="465152"/>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val="0"/>
                <w:bCs/>
                <w:noProof/>
              </w:rPr>
              <w:drawing>
                <wp:anchor distT="0" distB="0" distL="114300" distR="114300" simplePos="0" relativeHeight="251658276" behindDoc="1" locked="0" layoutInCell="1" allowOverlap="1" wp14:anchorId="0AB916C2" wp14:editId="23A39653">
                  <wp:simplePos x="0" y="0"/>
                  <wp:positionH relativeFrom="column">
                    <wp:posOffset>-76688</wp:posOffset>
                  </wp:positionH>
                  <wp:positionV relativeFrom="paragraph">
                    <wp:posOffset>52754</wp:posOffset>
                  </wp:positionV>
                  <wp:extent cx="914400" cy="914400"/>
                  <wp:effectExtent l="0" t="0" r="0" b="0"/>
                  <wp:wrapTight wrapText="bothSides">
                    <wp:wrapPolygon edited="0">
                      <wp:start x="9000" y="4050"/>
                      <wp:lineTo x="0" y="8100"/>
                      <wp:lineTo x="0" y="9000"/>
                      <wp:lineTo x="900" y="13500"/>
                      <wp:lineTo x="7200" y="17100"/>
                      <wp:lineTo x="13950" y="17100"/>
                      <wp:lineTo x="15300" y="16200"/>
                      <wp:lineTo x="18450" y="13050"/>
                      <wp:lineTo x="18000" y="12150"/>
                      <wp:lineTo x="21150" y="9000"/>
                      <wp:lineTo x="21150" y="8100"/>
                      <wp:lineTo x="12150" y="4050"/>
                      <wp:lineTo x="9000" y="4050"/>
                    </wp:wrapPolygon>
                  </wp:wrapTight>
                  <wp:docPr id="2081404854" name="Graphic 7" descr="Graduation ca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404854" name="Graphic 2081404854" descr="Graduation cap with solid fill"/>
                          <pic:cNvPicPr/>
                        </pic:nvPicPr>
                        <pic:blipFill>
                          <a:blip r:embed="rId90">
                            <a:extLst>
                              <a:ext uri="{96DAC541-7B7A-43D3-8B79-37D633B846F1}">
                                <asvg:svgBlip xmlns:asvg="http://schemas.microsoft.com/office/drawing/2016/SVG/main" r:embed="rId91"/>
                              </a:ext>
                            </a:extLst>
                          </a:blip>
                          <a:stretch>
                            <a:fillRect/>
                          </a:stretch>
                        </pic:blipFill>
                        <pic:spPr>
                          <a:xfrm>
                            <a:off x="0" y="0"/>
                            <a:ext cx="914400" cy="914400"/>
                          </a:xfrm>
                          <a:prstGeom prst="rect">
                            <a:avLst/>
                          </a:prstGeom>
                        </pic:spPr>
                      </pic:pic>
                    </a:graphicData>
                  </a:graphic>
                </wp:anchor>
              </w:drawing>
            </w:r>
            <w:r w:rsidRPr="00B44A50" w:rsidR="00EA6ECC">
              <w:t>Box</w:t>
            </w:r>
            <w:r w:rsidR="00EA6ECC">
              <w:t> </w:t>
            </w:r>
            <w:r w:rsidR="00EA6ECC">
              <w:rPr>
                <w:noProof/>
              </w:rPr>
              <w:fldChar w:fldCharType="begin"/>
            </w:r>
            <w:r w:rsidR="00EA6ECC">
              <w:rPr>
                <w:noProof/>
              </w:rPr>
              <w:instrText xml:space="preserve"> STYLEREF 1 \s </w:instrText>
            </w:r>
            <w:r w:rsidR="00EA6ECC">
              <w:rPr>
                <w:noProof/>
              </w:rPr>
              <w:fldChar w:fldCharType="separate"/>
            </w:r>
            <w:r w:rsidR="00543B3D">
              <w:rPr>
                <w:noProof/>
              </w:rPr>
              <w:t>4</w:t>
            </w:r>
            <w:r w:rsidR="00EA6ECC">
              <w:rPr>
                <w:noProof/>
              </w:rPr>
              <w:fldChar w:fldCharType="end"/>
            </w:r>
            <w:r w:rsidR="00EA6ECC">
              <w:t>.</w:t>
            </w:r>
            <w:r w:rsidR="00EA6ECC">
              <w:rPr>
                <w:noProof/>
              </w:rPr>
              <w:fldChar w:fldCharType="begin"/>
            </w:r>
            <w:r w:rsidR="00EA6ECC">
              <w:rPr>
                <w:noProof/>
              </w:rPr>
              <w:instrText xml:space="preserve"> SEQ Box \* ARABIC \s 1 </w:instrText>
            </w:r>
            <w:r w:rsidR="00EA6ECC">
              <w:rPr>
                <w:noProof/>
              </w:rPr>
              <w:fldChar w:fldCharType="separate"/>
            </w:r>
            <w:r w:rsidR="00543B3D">
              <w:rPr>
                <w:noProof/>
              </w:rPr>
              <w:t>9</w:t>
            </w:r>
            <w:r w:rsidR="00EA6ECC">
              <w:rPr>
                <w:noProof/>
              </w:rPr>
              <w:fldChar w:fldCharType="end"/>
            </w:r>
            <w:bookmarkEnd w:id="159"/>
            <w:r w:rsidR="00EA6ECC">
              <w:t xml:space="preserve">. </w:t>
            </w:r>
            <w:r w:rsidR="00A40062">
              <w:t xml:space="preserve">Ireland - </w:t>
            </w:r>
            <w:r>
              <w:t>Adapting personas to the Life Event ‘I became a student’ to factor in students in vulnerable situations</w:t>
            </w:r>
            <w:bookmarkEnd w:id="160"/>
            <w:r>
              <w:t xml:space="preserve"> </w:t>
            </w:r>
          </w:p>
          <w:p w:rsidRPr="00FE0128" w:rsidR="00FE0128" w:rsidP="00832509" w:rsidRDefault="00FE0128" w14:paraId="32A0C479" w14:textId="63AFA9C6">
            <w:pPr>
              <w:pStyle w:val="CaptionSubtitle"/>
              <w:jc w:val="both"/>
              <w:rPr>
                <w:rFonts w:asciiTheme="minorHAnsi" w:hAnsiTheme="minorHAnsi" w:cstheme="minorHAnsi"/>
                <w:sz w:val="20"/>
                <w:szCs w:val="20"/>
              </w:rPr>
            </w:pPr>
            <w:r w:rsidRPr="00FE0128">
              <w:rPr>
                <w:rFonts w:asciiTheme="minorHAnsi" w:hAnsiTheme="minorHAnsi" w:cstheme="minorHAnsi"/>
                <w:sz w:val="20"/>
                <w:szCs w:val="20"/>
              </w:rPr>
              <w:t xml:space="preserve">Becoming a student is a significantly complex Life Event. Many processes are involved: being accepted to a third level institute is only the beginning. New students will also have to complete government processes for the first time, such as moving home and registering for local taxes, applying for benefits or loans from the government, and registering for healthcare services. This can be especially difficult when young people are using administrative services for the first time, without prior experience of </w:t>
            </w:r>
            <w:r w:rsidR="001A6822">
              <w:rPr>
                <w:rFonts w:asciiTheme="minorHAnsi" w:hAnsiTheme="minorHAnsi" w:cstheme="minorHAnsi"/>
                <w:sz w:val="20"/>
                <w:szCs w:val="20"/>
              </w:rPr>
              <w:t xml:space="preserve">how </w:t>
            </w:r>
            <w:r w:rsidRPr="00FE0128">
              <w:rPr>
                <w:rFonts w:asciiTheme="minorHAnsi" w:hAnsiTheme="minorHAnsi" w:cstheme="minorHAnsi"/>
                <w:sz w:val="20"/>
                <w:szCs w:val="20"/>
              </w:rPr>
              <w:t>they operate, while also moving away from home and losing the benefits of support from parents, family and friends. Those who have difficulty using administrative services while becoming a student may have knock on effects on their education.</w:t>
            </w:r>
          </w:p>
          <w:p w:rsidRPr="00FE0128" w:rsidR="00FE0128" w:rsidP="00832509" w:rsidRDefault="00FE0128" w14:paraId="051D43DA" w14:textId="4EDAAE6E">
            <w:pPr>
              <w:pStyle w:val="CaptionSubtitle"/>
              <w:jc w:val="both"/>
              <w:rPr>
                <w:rFonts w:asciiTheme="minorHAnsi" w:hAnsiTheme="minorHAnsi" w:cstheme="minorHAnsi"/>
                <w:sz w:val="20"/>
                <w:szCs w:val="20"/>
              </w:rPr>
            </w:pPr>
            <w:r w:rsidRPr="00FE0128">
              <w:rPr>
                <w:rFonts w:asciiTheme="minorHAnsi" w:hAnsiTheme="minorHAnsi" w:cstheme="minorHAnsi"/>
                <w:sz w:val="20"/>
                <w:szCs w:val="20"/>
              </w:rPr>
              <w:t xml:space="preserve">As such, </w:t>
            </w:r>
            <w:r w:rsidRPr="00832509">
              <w:rPr>
                <w:rFonts w:asciiTheme="minorHAnsi" w:hAnsiTheme="minorHAnsi" w:cstheme="minorHAnsi"/>
                <w:b/>
                <w:bCs/>
                <w:sz w:val="20"/>
                <w:szCs w:val="20"/>
              </w:rPr>
              <w:t>Ireland</w:t>
            </w:r>
            <w:r w:rsidRPr="00FE0128">
              <w:rPr>
                <w:rFonts w:asciiTheme="minorHAnsi" w:hAnsiTheme="minorHAnsi" w:cstheme="minorHAnsi"/>
                <w:sz w:val="20"/>
                <w:szCs w:val="20"/>
              </w:rPr>
              <w:t xml:space="preserve"> has focused extensively on </w:t>
            </w:r>
            <w:r w:rsidR="00D5413A">
              <w:rPr>
                <w:rFonts w:asciiTheme="minorHAnsi" w:hAnsiTheme="minorHAnsi" w:cstheme="minorHAnsi"/>
                <w:sz w:val="20"/>
                <w:szCs w:val="20"/>
              </w:rPr>
              <w:t>‘</w:t>
            </w:r>
            <w:r w:rsidRPr="00FE0128">
              <w:rPr>
                <w:rFonts w:asciiTheme="minorHAnsi" w:hAnsiTheme="minorHAnsi" w:cstheme="minorHAnsi"/>
                <w:sz w:val="20"/>
                <w:szCs w:val="20"/>
              </w:rPr>
              <w:t>becoming a student</w:t>
            </w:r>
            <w:r w:rsidR="00D5413A">
              <w:rPr>
                <w:rFonts w:asciiTheme="minorHAnsi" w:hAnsiTheme="minorHAnsi" w:cstheme="minorHAnsi"/>
                <w:sz w:val="20"/>
                <w:szCs w:val="20"/>
              </w:rPr>
              <w:t>’</w:t>
            </w:r>
            <w:r w:rsidRPr="00FE0128">
              <w:rPr>
                <w:rFonts w:asciiTheme="minorHAnsi" w:hAnsiTheme="minorHAnsi" w:cstheme="minorHAnsi"/>
                <w:sz w:val="20"/>
                <w:szCs w:val="20"/>
              </w:rPr>
              <w:t xml:space="preserve"> as a critical Life Event affecting both long term life </w:t>
            </w:r>
            <w:r w:rsidRPr="00FE0128" w:rsidR="007A22EF">
              <w:rPr>
                <w:rFonts w:asciiTheme="minorHAnsi" w:hAnsiTheme="minorHAnsi" w:cstheme="minorHAnsi"/>
                <w:sz w:val="20"/>
                <w:szCs w:val="20"/>
              </w:rPr>
              <w:t>outcomes and</w:t>
            </w:r>
            <w:r w:rsidRPr="00FE0128">
              <w:rPr>
                <w:rFonts w:asciiTheme="minorHAnsi" w:hAnsiTheme="minorHAnsi" w:cstheme="minorHAnsi"/>
                <w:sz w:val="20"/>
                <w:szCs w:val="20"/>
              </w:rPr>
              <w:t xml:space="preserve"> having a significant impact on how many people form their views of public institutions. Ireland undertook an extensive journey mapping of this life event, using different “personas” to understand the steps and difficulties different students may </w:t>
            </w:r>
            <w:r w:rsidRPr="00FE0128" w:rsidR="007A22EF">
              <w:rPr>
                <w:rFonts w:asciiTheme="minorHAnsi" w:hAnsiTheme="minorHAnsi" w:cstheme="minorHAnsi"/>
                <w:sz w:val="20"/>
                <w:szCs w:val="20"/>
              </w:rPr>
              <w:t>face</w:t>
            </w:r>
            <w:r w:rsidRPr="00FE0128">
              <w:rPr>
                <w:rFonts w:asciiTheme="minorHAnsi" w:hAnsiTheme="minorHAnsi" w:cstheme="minorHAnsi"/>
                <w:sz w:val="20"/>
                <w:szCs w:val="20"/>
              </w:rPr>
              <w:t xml:space="preserve"> those moving away from home, those arriving from overseas to study in Ireland, those applying for government benefits or support to help pay for their education. This has allowed a more fine-grained mapping of individual “pain points” to be addressed by different government agencies, such as making benefit applications less complex.</w:t>
            </w:r>
          </w:p>
          <w:p w:rsidRPr="00775FF9" w:rsidR="00EA6ECC" w:rsidRDefault="00EA6ECC" w14:paraId="610F84D1" w14:textId="6F863371">
            <w:pPr>
              <w:pStyle w:val="Sourcenotes"/>
            </w:pPr>
            <w:r>
              <w:t xml:space="preserve">Source: </w:t>
            </w:r>
            <w:r w:rsidR="00FE0128">
              <w:t>Data collected during TSI country mission to Ireland, March 2025</w:t>
            </w:r>
            <w:r w:rsidR="00430B45">
              <w:t>.</w:t>
            </w:r>
          </w:p>
        </w:tc>
      </w:tr>
    </w:tbl>
    <w:p w:rsidRPr="00FE0128" w:rsidR="00B5279B" w:rsidP="00EA6ECC" w:rsidRDefault="00B5279B" w14:paraId="2C7B7F37" w14:textId="027A741D">
      <w:pPr>
        <w:pStyle w:val="Para"/>
        <w:numPr>
          <w:ilvl w:val="0"/>
          <w:numId w:val="0"/>
        </w:numPr>
      </w:pPr>
      <w:r w:rsidRPr="00832509">
        <w:rPr>
          <w:b/>
          <w:bCs/>
        </w:rPr>
        <w:t>Fair services</w:t>
      </w:r>
      <w:r w:rsidRPr="00832509" w:rsidR="00FE0128">
        <w:rPr>
          <w:b/>
          <w:bCs/>
        </w:rPr>
        <w:t xml:space="preserve"> also</w:t>
      </w:r>
      <w:r w:rsidRPr="00832509">
        <w:rPr>
          <w:b/>
          <w:bCs/>
        </w:rPr>
        <w:t xml:space="preserve"> imply the delivery of services with the same level of quality across the territory.</w:t>
      </w:r>
      <w:r>
        <w:t xml:space="preserve"> Slovenia has for instance established local administrative units in each district, that deliver deconcentrated services close</w:t>
      </w:r>
      <w:r w:rsidR="00F82855">
        <w:t>r</w:t>
      </w:r>
      <w:r>
        <w:t xml:space="preserve"> to citizens while respecting national standards and procedures on service delivery (</w:t>
      </w:r>
      <w:r>
        <w:fldChar w:fldCharType="begin"/>
      </w:r>
      <w:r>
        <w:instrText xml:space="preserve"> REF _Ref215160336 \h </w:instrText>
      </w:r>
      <w:r>
        <w:fldChar w:fldCharType="separate"/>
      </w:r>
      <w:r w:rsidRPr="00B44A50" w:rsidR="00543B3D">
        <w:t>Box</w:t>
      </w:r>
      <w:r w:rsidR="00543B3D">
        <w:t> </w:t>
      </w:r>
      <w:r w:rsidR="00543B3D">
        <w:rPr>
          <w:noProof/>
        </w:rPr>
        <w:t>4</w:t>
      </w:r>
      <w:r w:rsidR="00543B3D">
        <w:t>.</w:t>
      </w:r>
      <w:r w:rsidR="00543B3D">
        <w:rPr>
          <w:noProof/>
        </w:rPr>
        <w:t>10</w:t>
      </w:r>
      <w:r>
        <w:fldChar w:fldCharType="end"/>
      </w:r>
      <w:r>
        <w:t>).</w:t>
      </w:r>
      <w:r w:rsidR="00FE0128">
        <w:t xml:space="preserve"> The renewal of the </w:t>
      </w:r>
      <w:r w:rsidRPr="00832509" w:rsidR="00FE0128">
        <w:t>central government’s service and premises network in Finland</w:t>
      </w:r>
      <w:r w:rsidR="00FE0128">
        <w:t xml:space="preserve"> also aims to deliver fair services regardless of the location of the user through the access to physical centres within one hour of the user’s home.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B5279B" w14:paraId="724A7668"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B5279B" w:rsidRDefault="00790CD1" w14:paraId="18CC235F" w14:textId="76DA99A7">
            <w:pPr>
              <w:pStyle w:val="Caption"/>
            </w:pPr>
            <w:bookmarkStart w:name="_Ref215160336" w:id="161"/>
            <w:bookmarkStart w:name="_Toc223413831" w:id="162"/>
            <w:r w:rsidRPr="00E30FFF">
              <w:rPr>
                <w:noProof/>
              </w:rPr>
              <w:drawing>
                <wp:anchor distT="0" distB="0" distL="114300" distR="114300" simplePos="0" relativeHeight="251658255" behindDoc="1" locked="0" layoutInCell="1" allowOverlap="1" wp14:anchorId="3537D602" wp14:editId="369A480C">
                  <wp:simplePos x="0" y="0"/>
                  <wp:positionH relativeFrom="column">
                    <wp:posOffset>4643023</wp:posOffset>
                  </wp:positionH>
                  <wp:positionV relativeFrom="paragraph">
                    <wp:posOffset>151716</wp:posOffset>
                  </wp:positionV>
                  <wp:extent cx="1083538" cy="541769"/>
                  <wp:effectExtent l="0" t="0" r="2540" b="0"/>
                  <wp:wrapTight wrapText="bothSides">
                    <wp:wrapPolygon edited="0">
                      <wp:start x="0" y="0"/>
                      <wp:lineTo x="0" y="20511"/>
                      <wp:lineTo x="21271" y="20511"/>
                      <wp:lineTo x="21271" y="0"/>
                      <wp:lineTo x="0" y="0"/>
                    </wp:wrapPolygon>
                  </wp:wrapTight>
                  <wp:docPr id="1602253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173809"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83538" cy="541769"/>
                          </a:xfrm>
                          <a:prstGeom prst="rect">
                            <a:avLst/>
                          </a:prstGeom>
                        </pic:spPr>
                      </pic:pic>
                    </a:graphicData>
                  </a:graphic>
                  <wp14:sizeRelH relativeFrom="margin">
                    <wp14:pctWidth>0</wp14:pctWidth>
                  </wp14:sizeRelH>
                  <wp14:sizeRelV relativeFrom="margin">
                    <wp14:pctHeight>0</wp14:pctHeight>
                  </wp14:sizeRelV>
                </wp:anchor>
              </w:drawing>
            </w:r>
            <w:r w:rsidRPr="00B44A50" w:rsidR="00B5279B">
              <w:t>Box</w:t>
            </w:r>
            <w:r w:rsidR="00B5279B">
              <w:t> </w:t>
            </w:r>
            <w:r w:rsidR="00B5279B">
              <w:rPr>
                <w:noProof/>
              </w:rPr>
              <w:fldChar w:fldCharType="begin"/>
            </w:r>
            <w:r w:rsidR="00B5279B">
              <w:rPr>
                <w:noProof/>
              </w:rPr>
              <w:instrText xml:space="preserve"> STYLEREF 1 \s </w:instrText>
            </w:r>
            <w:r w:rsidR="00B5279B">
              <w:rPr>
                <w:noProof/>
              </w:rPr>
              <w:fldChar w:fldCharType="separate"/>
            </w:r>
            <w:r w:rsidR="00543B3D">
              <w:rPr>
                <w:noProof/>
              </w:rPr>
              <w:t>4</w:t>
            </w:r>
            <w:r w:rsidR="00B5279B">
              <w:rPr>
                <w:noProof/>
              </w:rPr>
              <w:fldChar w:fldCharType="end"/>
            </w:r>
            <w:r w:rsidR="00B5279B">
              <w:t>.</w:t>
            </w:r>
            <w:r w:rsidR="00B5279B">
              <w:rPr>
                <w:noProof/>
              </w:rPr>
              <w:fldChar w:fldCharType="begin"/>
            </w:r>
            <w:r w:rsidR="00B5279B">
              <w:rPr>
                <w:noProof/>
              </w:rPr>
              <w:instrText xml:space="preserve"> SEQ Box \* ARABIC \s 1 </w:instrText>
            </w:r>
            <w:r w:rsidR="00B5279B">
              <w:rPr>
                <w:noProof/>
              </w:rPr>
              <w:fldChar w:fldCharType="separate"/>
            </w:r>
            <w:r w:rsidR="00543B3D">
              <w:rPr>
                <w:noProof/>
              </w:rPr>
              <w:t>10</w:t>
            </w:r>
            <w:r w:rsidR="00B5279B">
              <w:rPr>
                <w:noProof/>
              </w:rPr>
              <w:fldChar w:fldCharType="end"/>
            </w:r>
            <w:bookmarkEnd w:id="161"/>
            <w:r w:rsidR="00B5279B">
              <w:t xml:space="preserve">. </w:t>
            </w:r>
            <w:r w:rsidR="00A40062">
              <w:t xml:space="preserve">Slovenia - </w:t>
            </w:r>
            <w:r w:rsidR="00B5279B">
              <w:t>Local administrative units, closer to user needs</w:t>
            </w:r>
            <w:bookmarkEnd w:id="162"/>
            <w:r>
              <w:t xml:space="preserve"> </w:t>
            </w:r>
          </w:p>
          <w:p w:rsidR="00B5279B" w:rsidRDefault="00B5279B" w14:paraId="6A75A470" w14:textId="77777777">
            <w:pPr>
              <w:pStyle w:val="Para0"/>
            </w:pPr>
            <w:r w:rsidRPr="00832509">
              <w:rPr>
                <w:b/>
                <w:bCs/>
              </w:rPr>
              <w:t>Slovenia</w:t>
            </w:r>
            <w:r>
              <w:t xml:space="preserve"> has established 58 local administrative units in each district of the country, that constitute deconcentrated services of</w:t>
            </w:r>
            <w:r w:rsidRPr="00E57C71">
              <w:t xml:space="preserve"> the Ministry of Public Administration</w:t>
            </w:r>
            <w:r>
              <w:t>. They perform administrative tasks and services that need to be organised and delivered at the territorial level, including ID documents, residence registration, or driving licenses.</w:t>
            </w:r>
          </w:p>
          <w:p w:rsidR="00B5279B" w:rsidRDefault="00B5279B" w14:paraId="3E324DFB" w14:textId="38E3F0D1">
            <w:pPr>
              <w:pStyle w:val="Para0"/>
            </w:pPr>
            <w:r>
              <w:t xml:space="preserve">These administrative local units have increasingly modernised their operations through digitalisation, </w:t>
            </w:r>
            <w:r w:rsidR="00344905">
              <w:t>which has</w:t>
            </w:r>
            <w:r>
              <w:t xml:space="preserve"> helped them enhance their efficiency, share information and data, and track progress on applications and on their processing and duration </w:t>
            </w:r>
            <w:r w:rsidRPr="00C56D39">
              <w:t>(</w:t>
            </w:r>
            <w:r>
              <w:t xml:space="preserve">through the </w:t>
            </w:r>
            <w:r w:rsidRPr="00C56D39">
              <w:t>SKRINJA</w:t>
            </w:r>
            <w:r>
              <w:t xml:space="preserve"> unified digital platforms). These digital tools have also supported the measures of citizen satisfaction and the collection of </w:t>
            </w:r>
            <w:r w:rsidR="007A22EF">
              <w:t>feedback</w:t>
            </w:r>
            <w:r>
              <w:t xml:space="preserve"> and enhance</w:t>
            </w:r>
            <w:r w:rsidR="003918D4">
              <w:t>d</w:t>
            </w:r>
            <w:r>
              <w:t xml:space="preserve"> transparency through the publication of selected statistics.</w:t>
            </w:r>
          </w:p>
          <w:p w:rsidR="00B5279B" w:rsidRDefault="00B5279B" w14:paraId="2AE6623D" w14:textId="1B9A4CC8">
            <w:pPr>
              <w:pStyle w:val="Para0"/>
            </w:pPr>
            <w:r>
              <w:t>Slovenia records higher use of in-person channels, compared to other EU member States, with high satisfaction rates, and the use of local administrati</w:t>
            </w:r>
            <w:r w:rsidR="003918D4">
              <w:t>ve</w:t>
            </w:r>
            <w:r>
              <w:t xml:space="preserve"> units by citizens has contributed to these positive results. Local administrative units have ensured that citizens can reach services close to their residence, that their situation and requests are well understood by the administration, and that they are delivered in a fair and transparent manner that is consistent across the country.</w:t>
            </w:r>
          </w:p>
          <w:p w:rsidRPr="00E8440B" w:rsidR="00B5279B" w:rsidRDefault="00B5279B" w14:paraId="63537FA5" w14:textId="098059BE">
            <w:pPr>
              <w:pStyle w:val="Para0"/>
            </w:pPr>
            <w:r>
              <w:t xml:space="preserve">While the competencies and courtesy of employees is also </w:t>
            </w:r>
            <w:r w:rsidR="00F32060">
              <w:t>highly</w:t>
            </w:r>
            <w:r>
              <w:t xml:space="preserve"> rated in Slovenia, further efforts on the working conditions and training of employees in local administrative units, in addition to further deployment of digital solutions, remain priorities for the Ministry of Public administration.</w:t>
            </w:r>
          </w:p>
          <w:p w:rsidRPr="00775FF9" w:rsidR="00B5279B" w:rsidRDefault="00B5279B" w14:paraId="1554D3B5" w14:textId="77777777">
            <w:pPr>
              <w:pStyle w:val="Sourcenotes"/>
            </w:pPr>
            <w:r>
              <w:t>Sources: Ministry of Public administration of Slovenia (presentation during the TSI workshop in June 2025; OECD-EU TSI survey results.</w:t>
            </w:r>
          </w:p>
        </w:tc>
      </w:tr>
    </w:tbl>
    <w:p w:rsidRPr="00B5279B" w:rsidR="0024217E" w:rsidP="003F4515" w:rsidRDefault="00B5279B" w14:paraId="08C2CC61" w14:textId="06BDA37A">
      <w:pPr>
        <w:pStyle w:val="Para"/>
        <w:numPr>
          <w:ilvl w:val="0"/>
          <w:numId w:val="0"/>
        </w:numPr>
      </w:pPr>
      <w:r w:rsidRPr="00832509">
        <w:rPr>
          <w:b/>
          <w:bCs/>
        </w:rPr>
        <w:t>The fairness in the treatment of users is also measured by the perceived courtesy of civil servants to all citizens that are asking for a service</w:t>
      </w:r>
      <w:r w:rsidRPr="00832509" w:rsidR="00A73511">
        <w:rPr>
          <w:b/>
          <w:bCs/>
        </w:rPr>
        <w:t>.</w:t>
      </w:r>
      <w:r w:rsidR="008E6013">
        <w:t xml:space="preserve"> </w:t>
      </w:r>
      <w:r w:rsidR="001506D3">
        <w:t>65% of users on average across the EU-10 are satisfied with the courtesy of the employees they interacted with.</w:t>
      </w:r>
      <w:r w:rsidR="00073E66">
        <w:t xml:space="preserve"> Slovenia has the highest level of satisfaction, with 75% of users satisfied with the courtesy of employees they interacted with. </w:t>
      </w:r>
      <w:r w:rsidR="00D06141">
        <w:t>This high level of satisfaction may be associated with the large proportion of users who access services through face</w:t>
      </w:r>
      <w:r w:rsidR="00D00ECC">
        <w:t>-</w:t>
      </w:r>
      <w:r w:rsidR="00D06141">
        <w:t>to</w:t>
      </w:r>
      <w:r w:rsidR="00D00ECC">
        <w:t>-</w:t>
      </w:r>
      <w:r w:rsidR="00D06141">
        <w:t>face contact.</w:t>
      </w:r>
      <w:r>
        <w:t xml:space="preserve"> Users expect to be treated with respect by civil servants, which requires paying attention to the behaviours and competencies of citizens that are interacting with the general public. This can be promoted through training and educating civil servants</w:t>
      </w:r>
      <w:r w:rsidR="009D1718">
        <w:t xml:space="preserve">. </w:t>
      </w:r>
      <w:r>
        <w:t>In turn, users also need to treat with respect civil servants, including in situations of tensions and complexities. Reciprocal obligations and expected behaviours can be displayed and reminded to employees and users in public places where services are delivered.</w:t>
      </w:r>
      <w:r w:rsidR="003F4515">
        <w:t xml:space="preserve"> </w:t>
      </w:r>
    </w:p>
    <w:p w:rsidR="003F4515" w:rsidP="00A448F1" w:rsidRDefault="003F4515" w14:paraId="7E908BE4" w14:textId="33A55710">
      <w:pPr>
        <w:pStyle w:val="Heading2"/>
        <w:rPr>
          <w:lang w:val="en-US"/>
        </w:rPr>
      </w:pPr>
      <w:bookmarkStart w:name="_Toc223413741" w:id="163"/>
      <w:r>
        <w:rPr>
          <w:lang w:val="en-US"/>
        </w:rPr>
        <w:t xml:space="preserve">Tools for achieving results from simple, </w:t>
      </w:r>
      <w:r w:rsidR="009A714F">
        <w:rPr>
          <w:lang w:val="en-US"/>
        </w:rPr>
        <w:t xml:space="preserve">fast </w:t>
      </w:r>
      <w:r>
        <w:rPr>
          <w:lang w:val="en-US"/>
        </w:rPr>
        <w:t>and fair public services</w:t>
      </w:r>
      <w:bookmarkEnd w:id="163"/>
      <w:r>
        <w:rPr>
          <w:lang w:val="en-US"/>
        </w:rPr>
        <w:t xml:space="preserve"> </w:t>
      </w:r>
    </w:p>
    <w:p w:rsidR="00480B35" w:rsidP="00D06141" w:rsidRDefault="00D06141" w14:paraId="5836E992" w14:textId="4873C36A">
      <w:pPr>
        <w:pStyle w:val="Para"/>
        <w:numPr>
          <w:ilvl w:val="0"/>
          <w:numId w:val="0"/>
        </w:numPr>
      </w:pPr>
      <w:r w:rsidRPr="00832509">
        <w:rPr>
          <w:b/>
          <w:bCs/>
        </w:rPr>
        <w:t xml:space="preserve">Several tools have been identified that can support countries in achieving results </w:t>
      </w:r>
      <w:r w:rsidRPr="00832509" w:rsidR="007E0858">
        <w:rPr>
          <w:b/>
          <w:bCs/>
        </w:rPr>
        <w:t xml:space="preserve">for </w:t>
      </w:r>
      <w:r w:rsidRPr="00832509">
        <w:rPr>
          <w:b/>
          <w:bCs/>
        </w:rPr>
        <w:t xml:space="preserve">(i) </w:t>
      </w:r>
      <w:r w:rsidRPr="007E0858">
        <w:rPr>
          <w:b/>
          <w:bCs/>
        </w:rPr>
        <w:t>simple</w:t>
      </w:r>
      <w:r w:rsidRPr="00832509">
        <w:rPr>
          <w:b/>
          <w:bCs/>
        </w:rPr>
        <w:t xml:space="preserve"> (ii) </w:t>
      </w:r>
      <w:r w:rsidRPr="007E0858">
        <w:rPr>
          <w:b/>
          <w:bCs/>
        </w:rPr>
        <w:t>fast</w:t>
      </w:r>
      <w:r w:rsidRPr="00832509">
        <w:rPr>
          <w:b/>
          <w:bCs/>
        </w:rPr>
        <w:t xml:space="preserve"> and (iii) </w:t>
      </w:r>
      <w:r w:rsidRPr="007E0858">
        <w:rPr>
          <w:b/>
          <w:bCs/>
        </w:rPr>
        <w:t>fair</w:t>
      </w:r>
      <w:r w:rsidRPr="00832509">
        <w:rPr>
          <w:b/>
          <w:bCs/>
        </w:rPr>
        <w:t xml:space="preserve"> public services.</w:t>
      </w:r>
      <w:r>
        <w:t xml:space="preserve"> </w:t>
      </w:r>
      <w:r w:rsidR="0008731F">
        <w:t xml:space="preserve">Some tools can be grouped and address a number of different drivers. The definition of </w:t>
      </w:r>
      <w:r w:rsidR="0008731F">
        <w:rPr>
          <w:b/>
          <w:bCs/>
        </w:rPr>
        <w:t>performance targets for public service delivery and the subsequent monitoring of these targets</w:t>
      </w:r>
      <w:r w:rsidR="0008731F">
        <w:t xml:space="preserve"> can support countries in delivering simple, fast and fair services. </w:t>
      </w:r>
      <w:r w:rsidR="0008731F">
        <w:rPr>
          <w:b/>
          <w:bCs/>
        </w:rPr>
        <w:t>The user of user surveys and feedback loops can contribute to the collection of data to feed into these performance targets</w:t>
      </w:r>
      <w:r w:rsidR="0008731F">
        <w:t xml:space="preserve">. </w:t>
      </w:r>
      <w:r w:rsidR="00B17598">
        <w:t xml:space="preserve">It is also important to note that </w:t>
      </w:r>
      <w:r w:rsidR="00B17598">
        <w:rPr>
          <w:b/>
          <w:bCs/>
        </w:rPr>
        <w:t xml:space="preserve">standards and principles for the design and delivery of public services, </w:t>
      </w:r>
      <w:r w:rsidR="00B17598">
        <w:t xml:space="preserve">a tool outlined under tools supporting </w:t>
      </w:r>
      <w:r w:rsidR="00B17598">
        <w:rPr>
          <w:b/>
          <w:bCs/>
        </w:rPr>
        <w:t xml:space="preserve">Access </w:t>
      </w:r>
      <w:r w:rsidR="00B17598">
        <w:t xml:space="preserve">(Section </w:t>
      </w:r>
      <w:r w:rsidR="00B17598">
        <w:fldChar w:fldCharType="begin"/>
      </w:r>
      <w:r w:rsidR="00B17598">
        <w:instrText xml:space="preserve"> REF _Ref215433652 \r \h </w:instrText>
      </w:r>
      <w:r w:rsidR="00B17598">
        <w:fldChar w:fldCharType="separate"/>
      </w:r>
      <w:r w:rsidR="00543B3D">
        <w:t>2.4</w:t>
      </w:r>
      <w:r w:rsidR="00B17598">
        <w:fldChar w:fldCharType="end"/>
      </w:r>
      <w:r w:rsidR="00B17598">
        <w:t>) can support the definition of common targets across different services.</w:t>
      </w:r>
      <w:r w:rsidR="00480B35">
        <w:t xml:space="preserve"> </w:t>
      </w:r>
    </w:p>
    <w:p w:rsidR="00E6690D" w:rsidP="00D06141" w:rsidRDefault="00905841" w14:paraId="23BC4BF8" w14:textId="1213279F">
      <w:pPr>
        <w:pStyle w:val="Para"/>
        <w:numPr>
          <w:ilvl w:val="0"/>
          <w:numId w:val="0"/>
        </w:numPr>
      </w:pPr>
      <w:r w:rsidRPr="00832509">
        <w:rPr>
          <w:b/>
          <w:bCs/>
        </w:rPr>
        <w:t xml:space="preserve">The tools presented in Section </w:t>
      </w:r>
      <w:r w:rsidRPr="00832509">
        <w:rPr>
          <w:b/>
          <w:bCs/>
        </w:rPr>
        <w:fldChar w:fldCharType="begin"/>
      </w:r>
      <w:r w:rsidRPr="00832509">
        <w:rPr>
          <w:b/>
          <w:bCs/>
        </w:rPr>
        <w:instrText xml:space="preserve"> REF _Ref215433652 \r \h </w:instrText>
      </w:r>
      <w:r w:rsidR="00480B35">
        <w:rPr>
          <w:b/>
          <w:bCs/>
        </w:rPr>
        <w:instrText xml:space="preserve"> \* MERGEFORMAT </w:instrText>
      </w:r>
      <w:r w:rsidRPr="00832509">
        <w:rPr>
          <w:b/>
          <w:bCs/>
        </w:rPr>
      </w:r>
      <w:r w:rsidRPr="00832509">
        <w:rPr>
          <w:b/>
          <w:bCs/>
        </w:rPr>
        <w:fldChar w:fldCharType="separate"/>
      </w:r>
      <w:r w:rsidR="00543B3D">
        <w:rPr>
          <w:b/>
          <w:bCs/>
        </w:rPr>
        <w:t>2.4</w:t>
      </w:r>
      <w:r w:rsidRPr="00832509">
        <w:rPr>
          <w:b/>
          <w:bCs/>
        </w:rPr>
        <w:fldChar w:fldCharType="end"/>
      </w:r>
      <w:r w:rsidRPr="00832509">
        <w:rPr>
          <w:b/>
          <w:bCs/>
        </w:rPr>
        <w:t xml:space="preserve"> and </w:t>
      </w:r>
      <w:r w:rsidRPr="00832509">
        <w:rPr>
          <w:b/>
          <w:bCs/>
        </w:rPr>
        <w:fldChar w:fldCharType="begin"/>
      </w:r>
      <w:r w:rsidRPr="00832509">
        <w:rPr>
          <w:b/>
          <w:bCs/>
        </w:rPr>
        <w:instrText xml:space="preserve"> REF _Ref215433840 \r \h </w:instrText>
      </w:r>
      <w:r w:rsidR="00480B35">
        <w:rPr>
          <w:b/>
          <w:bCs/>
        </w:rPr>
        <w:instrText xml:space="preserve"> \* MERGEFORMAT </w:instrText>
      </w:r>
      <w:r w:rsidRPr="00832509">
        <w:rPr>
          <w:b/>
          <w:bCs/>
        </w:rPr>
      </w:r>
      <w:r w:rsidRPr="00832509">
        <w:rPr>
          <w:b/>
          <w:bCs/>
        </w:rPr>
        <w:fldChar w:fldCharType="separate"/>
      </w:r>
      <w:r w:rsidR="00543B3D">
        <w:rPr>
          <w:b/>
          <w:bCs/>
        </w:rPr>
        <w:t>0</w:t>
      </w:r>
      <w:r w:rsidRPr="00832509">
        <w:rPr>
          <w:b/>
          <w:bCs/>
        </w:rPr>
        <w:fldChar w:fldCharType="end"/>
      </w:r>
      <w:r w:rsidRPr="00832509" w:rsidR="00BB1000">
        <w:rPr>
          <w:b/>
          <w:bCs/>
        </w:rPr>
        <w:t xml:space="preserve"> supporting drivers falling under </w:t>
      </w:r>
      <w:r w:rsidRPr="00480B35" w:rsidR="00BB1000">
        <w:rPr>
          <w:b/>
          <w:bCs/>
        </w:rPr>
        <w:t>Access</w:t>
      </w:r>
      <w:r w:rsidRPr="00832509" w:rsidR="00BB1000">
        <w:rPr>
          <w:b/>
          <w:bCs/>
        </w:rPr>
        <w:t xml:space="preserve"> and </w:t>
      </w:r>
      <w:r w:rsidRPr="00480B35" w:rsidR="00BB1000">
        <w:rPr>
          <w:b/>
          <w:bCs/>
        </w:rPr>
        <w:t>Navigation</w:t>
      </w:r>
      <w:r w:rsidRPr="00832509" w:rsidR="00BB1000">
        <w:rPr>
          <w:b/>
          <w:bCs/>
        </w:rPr>
        <w:t xml:space="preserve"> can also support the delivery of fast services.</w:t>
      </w:r>
      <w:r w:rsidR="00BB1000">
        <w:t xml:space="preserve"> Moreover, the </w:t>
      </w:r>
      <w:r w:rsidR="00BB1000">
        <w:rPr>
          <w:b/>
          <w:bCs/>
        </w:rPr>
        <w:t xml:space="preserve">automation of internal processes and </w:t>
      </w:r>
      <w:r w:rsidR="00BB1000">
        <w:rPr>
          <w:b/>
          <w:bCs/>
        </w:rPr>
        <w:t>communication with users</w:t>
      </w:r>
      <w:r w:rsidR="00BB1000">
        <w:t xml:space="preserve"> can contribute to ensuring</w:t>
      </w:r>
      <w:r w:rsidRPr="00BB1000" w:rsidR="00BB1000">
        <w:t xml:space="preserve"> that users obtain what they need in a timely manner and reduce the administrative burden on both users and government sides.</w:t>
      </w:r>
    </w:p>
    <w:p w:rsidRPr="00BB1000" w:rsidR="00BB1000" w:rsidP="00D06141" w:rsidRDefault="00BB1000" w14:paraId="786792CC" w14:textId="5505341E">
      <w:pPr>
        <w:pStyle w:val="Para"/>
        <w:numPr>
          <w:ilvl w:val="0"/>
          <w:numId w:val="0"/>
        </w:numPr>
      </w:pPr>
      <w:r w:rsidRPr="00832509">
        <w:rPr>
          <w:b/>
          <w:bCs/>
        </w:rPr>
        <w:t xml:space="preserve">Several tools can contribute to the development of </w:t>
      </w:r>
      <w:r w:rsidRPr="00480B35">
        <w:rPr>
          <w:b/>
          <w:bCs/>
        </w:rPr>
        <w:t>fair services</w:t>
      </w:r>
      <w:r w:rsidRPr="00832509">
        <w:rPr>
          <w:b/>
          <w:bCs/>
        </w:rPr>
        <w:t>.</w:t>
      </w:r>
      <w:r>
        <w:t xml:space="preserve"> </w:t>
      </w:r>
      <w:r w:rsidR="008E7D19">
        <w:t xml:space="preserve">Ensuring physical and digital platforms are inclusive from their design supports the equal treatment of users. The development of standards and principles, outlined in Section </w:t>
      </w:r>
      <w:r w:rsidR="008E7D19">
        <w:fldChar w:fldCharType="begin"/>
      </w:r>
      <w:r w:rsidR="008E7D19">
        <w:instrText xml:space="preserve"> REF _Ref215433652 \r \h </w:instrText>
      </w:r>
      <w:r w:rsidR="008E7D19">
        <w:fldChar w:fldCharType="separate"/>
      </w:r>
      <w:r w:rsidR="00543B3D">
        <w:t>2.4</w:t>
      </w:r>
      <w:r w:rsidR="008E7D19">
        <w:fldChar w:fldCharType="end"/>
      </w:r>
      <w:r w:rsidR="008E7D19">
        <w:t xml:space="preserve"> can contribute to ensuring the streamlined approach for the development of inclusive services. The inclusion of the ombudsman in public service design can also support the development of fair services, by </w:t>
      </w:r>
      <w:r w:rsidR="00B17598">
        <w:t xml:space="preserve">receiving feedback on the overall level of inclusion of users through the service delivery. Moreover, including language variation in public services as well as raising awareness among staff of the importance of inclusive services contributes to an overall level of fairness. </w:t>
      </w:r>
    </w:p>
    <w:p w:rsidR="0008731F" w:rsidRDefault="0008731F" w14:paraId="1855DFFF" w14:textId="5C17594F">
      <w:pPr>
        <w:pStyle w:val="Caption"/>
      </w:pPr>
      <w:bookmarkStart w:name="_Toc223413774" w:id="164"/>
      <w:r>
        <w:t>Figure </w:t>
      </w:r>
      <w:r>
        <w:rPr>
          <w:noProof/>
        </w:rPr>
        <w:fldChar w:fldCharType="begin"/>
      </w:r>
      <w:r>
        <w:rPr>
          <w:noProof/>
        </w:rPr>
        <w:instrText xml:space="preserve"> STYLEREF 1 \s </w:instrText>
      </w:r>
      <w:r>
        <w:rPr>
          <w:noProof/>
        </w:rPr>
        <w:fldChar w:fldCharType="separate"/>
      </w:r>
      <w:r w:rsidR="00543B3D">
        <w:rPr>
          <w:noProof/>
        </w:rPr>
        <w:t>4</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4</w:t>
      </w:r>
      <w:r>
        <w:rPr>
          <w:noProof/>
        </w:rPr>
        <w:fldChar w:fldCharType="end"/>
      </w:r>
      <w:r>
        <w:t>. Grouping of tools to support achieving results</w:t>
      </w:r>
      <w:bookmarkEnd w:id="164"/>
      <w:r>
        <w:t xml:space="preserve"> </w:t>
      </w:r>
    </w:p>
    <w:p w:rsidR="0008731F" w:rsidRDefault="0008731F" w14:paraId="6FAB6890" w14:textId="3E389827">
      <w:pPr>
        <w:pStyle w:val="Figure"/>
        <w:rPr>
          <w:i/>
        </w:rPr>
      </w:pPr>
      <w:r w:rsidRPr="0008731F">
        <w:rPr>
          <w:noProof/>
        </w:rPr>
        <w:drawing>
          <wp:inline distT="0" distB="0" distL="0" distR="0" wp14:anchorId="1C31DF5F" wp14:editId="337568E2">
            <wp:extent cx="5175250" cy="5264150"/>
            <wp:effectExtent l="0" t="0" r="6350" b="0"/>
            <wp:docPr id="2088633410" name="Picture 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633410" name="Picture 1" descr="A screenshot of a diagram&#10;&#10;AI-generated content may be incorrect."/>
                    <pic:cNvPicPr/>
                  </pic:nvPicPr>
                  <pic:blipFill rotWithShape="1">
                    <a:blip r:embed="rId92"/>
                    <a:srcRect r="12347"/>
                    <a:stretch>
                      <a:fillRect/>
                    </a:stretch>
                  </pic:blipFill>
                  <pic:spPr bwMode="auto">
                    <a:xfrm>
                      <a:off x="0" y="0"/>
                      <a:ext cx="5175250" cy="5264150"/>
                    </a:xfrm>
                    <a:prstGeom prst="rect">
                      <a:avLst/>
                    </a:prstGeom>
                    <a:ln>
                      <a:noFill/>
                    </a:ln>
                    <a:extLst>
                      <a:ext uri="{53640926-AAD7-44D8-BBD7-CCE9431645EC}">
                        <a14:shadowObscured xmlns:a14="http://schemas.microsoft.com/office/drawing/2010/main"/>
                      </a:ext>
                    </a:extLst>
                  </pic:spPr>
                </pic:pic>
              </a:graphicData>
            </a:graphic>
          </wp:inline>
        </w:drawing>
      </w:r>
    </w:p>
    <w:p w:rsidRPr="00454399" w:rsidR="0008731F" w:rsidRDefault="0008731F" w14:paraId="69360F02" w14:textId="1DE445A3">
      <w:pPr>
        <w:pStyle w:val="Sourcenotes"/>
      </w:pPr>
      <w:r w:rsidRPr="004802B4">
        <w:t xml:space="preserve">Source: </w:t>
      </w:r>
      <w:r w:rsidR="00B17598">
        <w:t>Author illustration</w:t>
      </w:r>
      <w:r w:rsidR="00BC5388">
        <w:t>.</w:t>
      </w:r>
      <w:r w:rsidR="00B17598">
        <w:t xml:space="preserve"> </w:t>
      </w:r>
    </w:p>
    <w:p w:rsidR="00960EEE" w:rsidP="00D06141" w:rsidRDefault="00960EEE" w14:paraId="010807E2" w14:textId="77777777">
      <w:pPr>
        <w:pStyle w:val="Para0"/>
      </w:pPr>
    </w:p>
    <w:p w:rsidRPr="0043495C" w:rsidR="00B17598" w:rsidP="00B17598" w:rsidRDefault="00B17598" w14:paraId="2F094391" w14:textId="5DE0D1E0">
      <w:pPr>
        <w:pStyle w:val="Caption"/>
        <w:rPr>
          <w:bCs/>
        </w:rPr>
      </w:pPr>
      <w:bookmarkStart w:name="_Toc223413788" w:id="165"/>
      <w:r>
        <w:t>Table </w:t>
      </w:r>
      <w:r>
        <w:rPr>
          <w:noProof/>
        </w:rPr>
        <w:fldChar w:fldCharType="begin"/>
      </w:r>
      <w:r>
        <w:rPr>
          <w:noProof/>
        </w:rPr>
        <w:instrText xml:space="preserve"> STYLEREF 1 \s </w:instrText>
      </w:r>
      <w:r>
        <w:rPr>
          <w:noProof/>
        </w:rPr>
        <w:fldChar w:fldCharType="separate"/>
      </w:r>
      <w:r w:rsidR="00543B3D">
        <w:rPr>
          <w:noProof/>
        </w:rPr>
        <w:t>4</w:t>
      </w:r>
      <w:r>
        <w:rPr>
          <w:noProof/>
        </w:rPr>
        <w:fldChar w:fldCharType="end"/>
      </w:r>
      <w:r>
        <w:t>.</w:t>
      </w:r>
      <w:r>
        <w:rPr>
          <w:noProof/>
        </w:rPr>
        <w:fldChar w:fldCharType="begin"/>
      </w:r>
      <w:r>
        <w:rPr>
          <w:noProof/>
        </w:rPr>
        <w:instrText xml:space="preserve"> SEQ Table \* ARABIC \s 1 </w:instrText>
      </w:r>
      <w:r>
        <w:rPr>
          <w:noProof/>
        </w:rPr>
        <w:fldChar w:fldCharType="separate"/>
      </w:r>
      <w:r w:rsidR="00543B3D">
        <w:rPr>
          <w:noProof/>
        </w:rPr>
        <w:t>1</w:t>
      </w:r>
      <w:r>
        <w:rPr>
          <w:noProof/>
        </w:rPr>
        <w:fldChar w:fldCharType="end"/>
      </w:r>
      <w:r>
        <w:t>. Tools for Achieving results from Public Services</w:t>
      </w:r>
      <w:bookmarkEnd w:id="165"/>
      <w:r>
        <w:t xml:space="preserve">  </w:t>
      </w:r>
    </w:p>
    <w:tbl>
      <w:tblPr>
        <w:tblStyle w:val="OEC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20" w:firstRow="1" w:lastRow="0" w:firstColumn="0" w:lastColumn="0" w:noHBand="0" w:noVBand="1"/>
      </w:tblPr>
      <w:tblGrid>
        <w:gridCol w:w="1792"/>
        <w:gridCol w:w="3671"/>
        <w:gridCol w:w="3825"/>
      </w:tblGrid>
      <w:tr w:rsidRPr="0043495C" w:rsidR="00B17598" w:rsidTr="00832509" w14:paraId="55D54BCB" w14:textId="77777777">
        <w:trPr>
          <w:trHeight w:val="238"/>
          <w:tblHeader/>
        </w:trPr>
        <w:tc>
          <w:tcPr>
            <w:tcW w:w="965" w:type="pct"/>
          </w:tcPr>
          <w:p w:rsidRPr="0043495C" w:rsidR="00B17598" w:rsidRDefault="00B17598" w14:paraId="1171D650" w14:textId="77777777">
            <w:pPr>
              <w:pStyle w:val="TableColumn"/>
              <w:rPr>
                <w:b/>
                <w:bCs/>
              </w:rPr>
            </w:pPr>
            <w:r w:rsidRPr="0043495C">
              <w:rPr>
                <w:b/>
                <w:bCs/>
              </w:rPr>
              <w:t xml:space="preserve">Tool </w:t>
            </w:r>
          </w:p>
        </w:tc>
        <w:tc>
          <w:tcPr>
            <w:tcW w:w="1976" w:type="pct"/>
          </w:tcPr>
          <w:p w:rsidRPr="0043495C" w:rsidR="00B17598" w:rsidRDefault="00B17598" w14:paraId="57377D39" w14:textId="77777777">
            <w:pPr>
              <w:pStyle w:val="TableColumn"/>
              <w:rPr>
                <w:b/>
                <w:bCs/>
              </w:rPr>
            </w:pPr>
            <w:r w:rsidRPr="0043495C">
              <w:rPr>
                <w:b/>
                <w:bCs/>
              </w:rPr>
              <w:t xml:space="preserve">Description </w:t>
            </w:r>
          </w:p>
        </w:tc>
        <w:tc>
          <w:tcPr>
            <w:tcW w:w="2059" w:type="pct"/>
          </w:tcPr>
          <w:p w:rsidRPr="0043495C" w:rsidR="00B17598" w:rsidRDefault="00B17598" w14:paraId="06CBDC76" w14:textId="77777777">
            <w:pPr>
              <w:pStyle w:val="TableColumn"/>
              <w:rPr>
                <w:b/>
                <w:bCs/>
              </w:rPr>
            </w:pPr>
            <w:r w:rsidRPr="0043495C">
              <w:rPr>
                <w:b/>
                <w:bCs/>
              </w:rPr>
              <w:t>Types of Actions</w:t>
            </w:r>
          </w:p>
        </w:tc>
      </w:tr>
      <w:tr w:rsidRPr="00454399" w:rsidR="00B17598" w:rsidTr="00832509" w14:paraId="14B80A6D" w14:textId="77777777">
        <w:trPr>
          <w:trHeight w:val="238"/>
        </w:trPr>
        <w:tc>
          <w:tcPr>
            <w:tcW w:w="965" w:type="pct"/>
          </w:tcPr>
          <w:p w:rsidRPr="00454399" w:rsidR="00B17598" w:rsidP="00B17598" w:rsidRDefault="00B17598" w14:paraId="3AB71C60" w14:textId="32CC8031">
            <w:pPr>
              <w:pStyle w:val="TableRow"/>
            </w:pPr>
            <w:r w:rsidRPr="00B17598">
              <w:rPr>
                <w:rFonts w:eastAsia="Times New Roman" w:cs="Arial"/>
                <w:b/>
                <w:bCs/>
                <w:color w:val="3F3F3F"/>
                <w:kern w:val="24"/>
                <w:sz w:val="18"/>
                <w:szCs w:val="18"/>
              </w:rPr>
              <w:t>Performance targets for public service delivery</w:t>
            </w:r>
            <w:r w:rsidRPr="0030369A">
              <w:rPr>
                <w:rFonts w:eastAsia="Times New Roman" w:cs="Arial"/>
                <w:b/>
                <w:bCs/>
                <w:color w:val="3F3F3F"/>
                <w:kern w:val="24"/>
                <w:sz w:val="21"/>
                <w:szCs w:val="21"/>
              </w:rPr>
              <w:t xml:space="preserve"> </w:t>
            </w:r>
          </w:p>
        </w:tc>
        <w:tc>
          <w:tcPr>
            <w:tcW w:w="1976" w:type="pct"/>
          </w:tcPr>
          <w:p w:rsidRPr="00454399" w:rsidR="00B17598" w:rsidP="00B17598" w:rsidRDefault="00B17598" w14:paraId="1DC85576" w14:textId="6A5E97DD">
            <w:pPr>
              <w:pStyle w:val="TableCell"/>
              <w:jc w:val="left"/>
            </w:pPr>
            <w:r w:rsidRPr="00B17598">
              <w:rPr>
                <w:rFonts w:eastAsia="Times New Roman" w:cs="Arial"/>
                <w:color w:val="3F3F3F"/>
                <w:kern w:val="24"/>
                <w:sz w:val="18"/>
                <w:szCs w:val="18"/>
                <w:lang w:val="lv-LV"/>
              </w:rPr>
              <w:t>Performance targets for service delivery are essential tools for measuring service quality and tracking improvements over time. These targets can include metrics related to the speed and efficiency with which users navigate services and achieve their desired outcomes. They can also include specific targets for sub-groups (regional, vulnerable)</w:t>
            </w:r>
          </w:p>
        </w:tc>
        <w:tc>
          <w:tcPr>
            <w:tcW w:w="2059" w:type="pct"/>
          </w:tcPr>
          <w:p w:rsidRPr="00B17598" w:rsidR="00B17598" w:rsidP="00B17598" w:rsidRDefault="00B17598" w14:paraId="49F4DEBD" w14:textId="77777777">
            <w:pPr>
              <w:widowControl/>
              <w:numPr>
                <w:ilvl w:val="0"/>
                <w:numId w:val="12"/>
              </w:numPr>
              <w:ind w:left="323" w:hanging="323"/>
              <w:contextualSpacing/>
              <w:jc w:val="left"/>
              <w:rPr>
                <w:rFonts w:eastAsia="Times New Roman" w:cs="Arial"/>
                <w:color w:val="3F3F3F"/>
                <w:kern w:val="24"/>
                <w:sz w:val="18"/>
                <w:szCs w:val="18"/>
              </w:rPr>
            </w:pPr>
            <w:r w:rsidRPr="00B17598">
              <w:rPr>
                <w:rFonts w:eastAsia="Times New Roman" w:cs="Arial"/>
                <w:color w:val="3F3F3F"/>
                <w:kern w:val="24"/>
                <w:sz w:val="18"/>
                <w:szCs w:val="18"/>
              </w:rPr>
              <w:t>Integration of performance targets into a public service strategy</w:t>
            </w:r>
          </w:p>
          <w:p w:rsidRPr="00454399" w:rsidR="00B17598" w:rsidP="00B17598" w:rsidRDefault="00B17598" w14:paraId="11841F78" w14:textId="5211D040">
            <w:pPr>
              <w:widowControl/>
              <w:numPr>
                <w:ilvl w:val="0"/>
                <w:numId w:val="12"/>
              </w:numPr>
              <w:ind w:left="323" w:hanging="323"/>
              <w:contextualSpacing/>
              <w:jc w:val="left"/>
            </w:pPr>
            <w:r w:rsidRPr="00B17598">
              <w:rPr>
                <w:rFonts w:eastAsia="Times New Roman" w:cs="Arial"/>
                <w:color w:val="3F3F3F"/>
                <w:kern w:val="24"/>
                <w:sz w:val="18"/>
                <w:szCs w:val="18"/>
              </w:rPr>
              <w:t>Define sub-targets and cascade down indicators (by region, sub-group)</w:t>
            </w:r>
          </w:p>
        </w:tc>
      </w:tr>
      <w:tr w:rsidRPr="00454399" w:rsidR="00B17598" w:rsidTr="00832509" w14:paraId="02080C32" w14:textId="77777777">
        <w:trPr>
          <w:trHeight w:val="238"/>
        </w:trPr>
        <w:tc>
          <w:tcPr>
            <w:tcW w:w="965" w:type="pct"/>
          </w:tcPr>
          <w:p w:rsidRPr="00454399" w:rsidR="00B17598" w:rsidP="00B17598" w:rsidRDefault="00B17598" w14:paraId="7374A42D" w14:textId="0EDACB87">
            <w:pPr>
              <w:pStyle w:val="TableRow"/>
            </w:pPr>
            <w:r w:rsidRPr="00B17598">
              <w:rPr>
                <w:rFonts w:eastAsia="Times New Roman" w:cs="Arial"/>
                <w:b/>
                <w:bCs/>
                <w:color w:val="3F3F3F"/>
                <w:kern w:val="24"/>
                <w:sz w:val="18"/>
                <w:szCs w:val="18"/>
              </w:rPr>
              <w:t>Monitoring of performance metrics</w:t>
            </w:r>
            <w:r w:rsidRPr="0030369A">
              <w:rPr>
                <w:rFonts w:eastAsia="Times New Roman" w:cs="Arial"/>
                <w:b/>
                <w:bCs/>
                <w:color w:val="3F3F3F"/>
                <w:kern w:val="24"/>
                <w:sz w:val="21"/>
                <w:szCs w:val="21"/>
                <w:lang w:val="fr-FR"/>
              </w:rPr>
              <w:t xml:space="preserve"> </w:t>
            </w:r>
          </w:p>
        </w:tc>
        <w:tc>
          <w:tcPr>
            <w:tcW w:w="1976" w:type="pct"/>
          </w:tcPr>
          <w:p w:rsidRPr="00454399" w:rsidR="00B17598" w:rsidP="00B17598" w:rsidRDefault="00B17598" w14:paraId="5CCB5579" w14:textId="7ABEB7DB">
            <w:pPr>
              <w:pStyle w:val="TableCell"/>
              <w:jc w:val="left"/>
            </w:pPr>
            <w:r w:rsidRPr="00B17598">
              <w:rPr>
                <w:rFonts w:eastAsia="Times New Roman" w:cs="Arial"/>
                <w:color w:val="3F3F3F"/>
                <w:kern w:val="24"/>
                <w:sz w:val="18"/>
                <w:szCs w:val="18"/>
                <w:lang w:val="lv-LV"/>
              </w:rPr>
              <w:t>Monitoring performance of different services and analysis of the obtained information can provide insights on how fast users proceed with different services and obtain the result. This can in turn feed into and support policy decisions for service improvements.</w:t>
            </w:r>
          </w:p>
        </w:tc>
        <w:tc>
          <w:tcPr>
            <w:tcW w:w="2059" w:type="pct"/>
          </w:tcPr>
          <w:p w:rsidRPr="00B17598" w:rsidR="00B17598" w:rsidP="00B17598" w:rsidRDefault="00B17598" w14:paraId="01A04725" w14:textId="77777777">
            <w:pPr>
              <w:widowControl/>
              <w:numPr>
                <w:ilvl w:val="0"/>
                <w:numId w:val="12"/>
              </w:numPr>
              <w:ind w:left="323" w:hanging="323"/>
              <w:contextualSpacing/>
              <w:jc w:val="left"/>
              <w:rPr>
                <w:rFonts w:eastAsia="Times New Roman" w:cs="Arial"/>
                <w:color w:val="3F3F3F"/>
                <w:kern w:val="24"/>
                <w:sz w:val="18"/>
                <w:szCs w:val="18"/>
              </w:rPr>
            </w:pPr>
            <w:r w:rsidRPr="00B17598">
              <w:rPr>
                <w:rFonts w:eastAsia="Times New Roman" w:cs="Arial"/>
                <w:color w:val="3F3F3F"/>
                <w:kern w:val="24"/>
                <w:sz w:val="18"/>
                <w:szCs w:val="18"/>
              </w:rPr>
              <w:t>Embedding mechanisms that monitor user overall time spent on service obtainment</w:t>
            </w:r>
          </w:p>
          <w:p w:rsidRPr="00B17598" w:rsidR="00B17598" w:rsidP="00B17598" w:rsidRDefault="00B17598" w14:paraId="7CD61035" w14:textId="77777777">
            <w:pPr>
              <w:widowControl/>
              <w:numPr>
                <w:ilvl w:val="0"/>
                <w:numId w:val="12"/>
              </w:numPr>
              <w:ind w:left="323" w:hanging="323"/>
              <w:contextualSpacing/>
              <w:jc w:val="left"/>
              <w:rPr>
                <w:rFonts w:eastAsia="Times New Roman" w:cs="Arial"/>
                <w:color w:val="3F3F3F"/>
                <w:kern w:val="24"/>
                <w:sz w:val="18"/>
                <w:szCs w:val="18"/>
              </w:rPr>
            </w:pPr>
            <w:r w:rsidRPr="00B17598">
              <w:rPr>
                <w:rFonts w:eastAsia="Times New Roman" w:cs="Arial"/>
                <w:color w:val="3F3F3F"/>
                <w:kern w:val="24"/>
                <w:sz w:val="18"/>
                <w:szCs w:val="18"/>
              </w:rPr>
              <w:t>Monitor metrics at national, regional and sub-regional levels</w:t>
            </w:r>
          </w:p>
          <w:p w:rsidRPr="00B17598" w:rsidR="00B17598" w:rsidP="00B17598" w:rsidRDefault="00B17598" w14:paraId="3B38C32E" w14:textId="77777777">
            <w:pPr>
              <w:widowControl/>
              <w:numPr>
                <w:ilvl w:val="0"/>
                <w:numId w:val="12"/>
              </w:numPr>
              <w:ind w:left="323" w:hanging="323"/>
              <w:contextualSpacing/>
              <w:jc w:val="left"/>
              <w:rPr>
                <w:rFonts w:eastAsia="Times New Roman" w:cs="Arial"/>
                <w:color w:val="3F3F3F"/>
                <w:kern w:val="24"/>
                <w:sz w:val="18"/>
                <w:szCs w:val="18"/>
              </w:rPr>
            </w:pPr>
            <w:r w:rsidRPr="00B17598">
              <w:rPr>
                <w:rFonts w:eastAsia="Times New Roman" w:cs="Arial"/>
                <w:color w:val="3F3F3F"/>
                <w:kern w:val="24"/>
                <w:sz w:val="18"/>
                <w:szCs w:val="18"/>
              </w:rPr>
              <w:t>Create performance dialogue and reporting mechanisms at regional level and sub-regional levels</w:t>
            </w:r>
          </w:p>
          <w:p w:rsidRPr="00454399" w:rsidR="00B17598" w:rsidP="00B17598" w:rsidRDefault="00B17598" w14:paraId="725D580E" w14:textId="5950306A">
            <w:pPr>
              <w:widowControl/>
              <w:numPr>
                <w:ilvl w:val="0"/>
                <w:numId w:val="12"/>
              </w:numPr>
              <w:ind w:left="323" w:hanging="323"/>
              <w:contextualSpacing/>
              <w:jc w:val="left"/>
            </w:pPr>
            <w:r w:rsidRPr="00B17598">
              <w:rPr>
                <w:rFonts w:eastAsia="Times New Roman" w:cs="Arial"/>
                <w:color w:val="3F3F3F"/>
                <w:kern w:val="24"/>
                <w:sz w:val="18"/>
                <w:szCs w:val="18"/>
              </w:rPr>
              <w:t xml:space="preserve">Identify and address </w:t>
            </w:r>
            <w:r w:rsidRPr="00B17598" w:rsidR="00AD435E">
              <w:rPr>
                <w:rFonts w:eastAsia="Times New Roman" w:cs="Arial"/>
                <w:color w:val="3F3F3F"/>
                <w:kern w:val="24"/>
                <w:sz w:val="18"/>
                <w:szCs w:val="18"/>
              </w:rPr>
              <w:t>bottlenecks</w:t>
            </w:r>
            <w:r w:rsidRPr="00B17598">
              <w:rPr>
                <w:rFonts w:eastAsia="Times New Roman" w:cs="Arial"/>
                <w:color w:val="3F3F3F"/>
                <w:kern w:val="24"/>
                <w:sz w:val="18"/>
                <w:szCs w:val="18"/>
              </w:rPr>
              <w:t xml:space="preserve"> and issues through actions at the regional / sub-group level</w:t>
            </w:r>
          </w:p>
        </w:tc>
      </w:tr>
      <w:tr w:rsidRPr="00454399" w:rsidR="00B17598" w:rsidTr="00832509" w14:paraId="218AD771" w14:textId="77777777">
        <w:trPr>
          <w:trHeight w:val="238"/>
        </w:trPr>
        <w:tc>
          <w:tcPr>
            <w:tcW w:w="965" w:type="pct"/>
          </w:tcPr>
          <w:p w:rsidRPr="00B17598" w:rsidR="00B17598" w:rsidP="00B17598" w:rsidRDefault="00B17598" w14:paraId="09C89E6D" w14:textId="5784B549">
            <w:pPr>
              <w:pStyle w:val="TableRow"/>
              <w:rPr>
                <w:b/>
                <w:bCs/>
              </w:rPr>
            </w:pPr>
            <w:r>
              <w:rPr>
                <w:b/>
                <w:bCs/>
              </w:rPr>
              <w:t xml:space="preserve">User Survey and Feedback Loops </w:t>
            </w:r>
          </w:p>
        </w:tc>
        <w:tc>
          <w:tcPr>
            <w:tcW w:w="1976" w:type="pct"/>
          </w:tcPr>
          <w:p w:rsidRPr="00454399" w:rsidR="00B17598" w:rsidP="00B17598" w:rsidRDefault="00B17598" w14:paraId="70728148" w14:textId="50B825B2">
            <w:pPr>
              <w:pStyle w:val="TableCell"/>
              <w:jc w:val="left"/>
            </w:pPr>
            <w:r>
              <w:t xml:space="preserve">User Surveys and feedback loops can support in collecting data for the definition of performance targets, by identifying what in relation to simplicity, speed and fairness are of priority for users. Moreover, the collection of data from users can support in monitoring the performance targets set </w:t>
            </w:r>
          </w:p>
        </w:tc>
        <w:tc>
          <w:tcPr>
            <w:tcW w:w="2059" w:type="pct"/>
          </w:tcPr>
          <w:p w:rsidR="00B17598" w:rsidP="00B17598" w:rsidRDefault="00B17598" w14:paraId="61A13509" w14:textId="77777777">
            <w:pPr>
              <w:widowControl/>
              <w:numPr>
                <w:ilvl w:val="0"/>
                <w:numId w:val="9"/>
              </w:numPr>
              <w:ind w:left="323" w:hanging="284"/>
              <w:contextualSpacing/>
              <w:jc w:val="left"/>
            </w:pPr>
            <w:r>
              <w:t xml:space="preserve">Embedding user surveys </w:t>
            </w:r>
            <w:r w:rsidR="00AD435E">
              <w:t xml:space="preserve">in performance monitoring </w:t>
            </w:r>
          </w:p>
          <w:p w:rsidRPr="00454399" w:rsidR="00AD435E" w:rsidP="00B17598" w:rsidRDefault="00AD435E" w14:paraId="4E4E010B" w14:textId="415769E0">
            <w:pPr>
              <w:widowControl/>
              <w:numPr>
                <w:ilvl w:val="0"/>
                <w:numId w:val="9"/>
              </w:numPr>
              <w:ind w:left="323" w:hanging="284"/>
              <w:contextualSpacing/>
              <w:jc w:val="left"/>
            </w:pPr>
            <w:r>
              <w:t xml:space="preserve">Integration of user panels and feedback loops in the monitoring of performance. </w:t>
            </w:r>
          </w:p>
        </w:tc>
      </w:tr>
      <w:tr w:rsidRPr="00454399" w:rsidR="00AD435E" w:rsidTr="00832509" w14:paraId="0911B293" w14:textId="77777777">
        <w:trPr>
          <w:trHeight w:val="238"/>
        </w:trPr>
        <w:tc>
          <w:tcPr>
            <w:tcW w:w="965" w:type="pct"/>
          </w:tcPr>
          <w:p w:rsidRPr="00454399" w:rsidR="00AD435E" w:rsidP="00AD435E" w:rsidRDefault="00AD435E" w14:paraId="6677D8B9" w14:textId="6BC20FD7">
            <w:pPr>
              <w:pStyle w:val="TableRow"/>
            </w:pPr>
            <w:r w:rsidRPr="00AD435E">
              <w:rPr>
                <w:b/>
                <w:bCs/>
              </w:rPr>
              <w:t>Automation of internal processes and communication with users</w:t>
            </w:r>
          </w:p>
        </w:tc>
        <w:tc>
          <w:tcPr>
            <w:tcW w:w="1976" w:type="pct"/>
          </w:tcPr>
          <w:p w:rsidRPr="00454399" w:rsidR="00AD435E" w:rsidP="00AD435E" w:rsidRDefault="00AD435E" w14:paraId="1EC226C6" w14:textId="0EE69236">
            <w:pPr>
              <w:pStyle w:val="TableCell"/>
              <w:jc w:val="left"/>
            </w:pPr>
            <w:r w:rsidRPr="00AD435E">
              <w:rPr>
                <w:rFonts w:eastAsia="Times New Roman" w:cs="Arial"/>
                <w:color w:val="3F3F3F"/>
                <w:kern w:val="24"/>
                <w:sz w:val="18"/>
                <w:szCs w:val="18"/>
                <w:lang w:val="lv-LV"/>
              </w:rPr>
              <w:t>Automation of certain public service elements can ensure that users obtain what they need in a timely manner and reduce the administrative burden on both users and government sides. Using unified digital platform for centralised and concentrated services is essential to ensure data sharing, consistency of procedures and to track and compare processing times and performance</w:t>
            </w:r>
            <w:r>
              <w:rPr>
                <w:rFonts w:eastAsia="Times New Roman" w:cs="Arial"/>
                <w:color w:val="3F3F3F"/>
                <w:kern w:val="24"/>
                <w:sz w:val="21"/>
                <w:szCs w:val="21"/>
              </w:rPr>
              <w:t>.</w:t>
            </w:r>
          </w:p>
        </w:tc>
        <w:tc>
          <w:tcPr>
            <w:tcW w:w="2059" w:type="pct"/>
          </w:tcPr>
          <w:p w:rsidRPr="00AD435E" w:rsidR="00AD435E" w:rsidP="00AD435E" w:rsidRDefault="00AD435E" w14:paraId="3E83D2B2" w14:textId="77777777">
            <w:pPr>
              <w:widowControl/>
              <w:numPr>
                <w:ilvl w:val="0"/>
                <w:numId w:val="9"/>
              </w:numPr>
              <w:ind w:left="323" w:hanging="284"/>
              <w:contextualSpacing/>
              <w:jc w:val="left"/>
            </w:pPr>
            <w:r w:rsidRPr="00AD435E">
              <w:t>Usage of templates and user data for automatic generation of documents</w:t>
            </w:r>
          </w:p>
          <w:p w:rsidRPr="00AD435E" w:rsidR="00AD435E" w:rsidP="00AD435E" w:rsidRDefault="00AD435E" w14:paraId="6236CF87" w14:textId="77777777">
            <w:pPr>
              <w:widowControl/>
              <w:numPr>
                <w:ilvl w:val="0"/>
                <w:numId w:val="9"/>
              </w:numPr>
              <w:ind w:left="323" w:hanging="284"/>
              <w:contextualSpacing/>
              <w:jc w:val="left"/>
            </w:pPr>
            <w:r w:rsidRPr="00AD435E">
              <w:t>Development of automated and/or AI chat boxes for simple inquiries and service requests from users</w:t>
            </w:r>
          </w:p>
          <w:p w:rsidRPr="00454399" w:rsidR="00AD435E" w:rsidP="00AD435E" w:rsidRDefault="00AD435E" w14:paraId="6B286E05" w14:textId="6BC45837">
            <w:pPr>
              <w:widowControl/>
              <w:numPr>
                <w:ilvl w:val="0"/>
                <w:numId w:val="9"/>
              </w:numPr>
              <w:ind w:left="323" w:hanging="284"/>
              <w:contextualSpacing/>
              <w:jc w:val="left"/>
            </w:pPr>
            <w:r w:rsidRPr="00AD435E">
              <w:t>Ensure the development and use of unified platforms</w:t>
            </w:r>
          </w:p>
        </w:tc>
      </w:tr>
      <w:tr w:rsidRPr="00454399" w:rsidR="00AD435E" w:rsidTr="00832509" w14:paraId="29BC5A47" w14:textId="77777777">
        <w:trPr>
          <w:trHeight w:val="238"/>
        </w:trPr>
        <w:tc>
          <w:tcPr>
            <w:tcW w:w="965" w:type="pct"/>
          </w:tcPr>
          <w:p w:rsidRPr="00AD435E" w:rsidR="00AD435E" w:rsidP="00AD435E" w:rsidRDefault="00AD435E" w14:paraId="06FC7584" w14:textId="275DCEED">
            <w:pPr>
              <w:pStyle w:val="TableRow"/>
              <w:rPr>
                <w:b/>
                <w:bCs/>
              </w:rPr>
            </w:pPr>
            <w:r w:rsidRPr="00AD435E">
              <w:rPr>
                <w:b/>
                <w:bCs/>
              </w:rPr>
              <w:t>Inclusive digital delivery platforms</w:t>
            </w:r>
          </w:p>
        </w:tc>
        <w:tc>
          <w:tcPr>
            <w:tcW w:w="1976" w:type="pct"/>
          </w:tcPr>
          <w:p w:rsidRPr="00AD435E" w:rsidR="00AD435E" w:rsidP="00AD435E" w:rsidRDefault="00AD435E" w14:paraId="1E3500B4" w14:textId="54D831FD">
            <w:pPr>
              <w:pStyle w:val="TableCell"/>
              <w:jc w:val="left"/>
              <w:rPr>
                <w:rFonts w:eastAsia="Times New Roman" w:cs="Arial"/>
                <w:color w:val="3F3F3F"/>
                <w:kern w:val="24"/>
                <w:sz w:val="18"/>
                <w:szCs w:val="18"/>
                <w:lang w:val="lv-LV"/>
              </w:rPr>
            </w:pPr>
            <w:r w:rsidRPr="00AD435E">
              <w:rPr>
                <w:rFonts w:eastAsia="Times New Roman" w:cs="Arial"/>
                <w:color w:val="3F3F3F"/>
                <w:kern w:val="24"/>
                <w:sz w:val="18"/>
                <w:szCs w:val="18"/>
                <w:lang w:val="lv-LV"/>
              </w:rPr>
              <w:t>Inclusivity in digital platforms ensures equitable access and use of services online for all users to take into account their individual characteristics and needs.</w:t>
            </w:r>
          </w:p>
        </w:tc>
        <w:tc>
          <w:tcPr>
            <w:tcW w:w="2059" w:type="pct"/>
          </w:tcPr>
          <w:p w:rsidRPr="00AD435E" w:rsidR="00AD435E" w:rsidP="00AD435E" w:rsidRDefault="00AD435E" w14:paraId="0502933A" w14:textId="77777777">
            <w:pPr>
              <w:widowControl/>
              <w:numPr>
                <w:ilvl w:val="0"/>
                <w:numId w:val="9"/>
              </w:numPr>
              <w:ind w:left="323" w:hanging="284"/>
              <w:contextualSpacing/>
              <w:jc w:val="left"/>
            </w:pPr>
            <w:r w:rsidRPr="00AD435E">
              <w:t>Embedding features (e.g., brightness, colour modes, text size etc.) for users with diverse needs</w:t>
            </w:r>
          </w:p>
          <w:p w:rsidRPr="00AD435E" w:rsidR="00AD435E" w:rsidP="00AD435E" w:rsidRDefault="00AD435E" w14:paraId="4513F575" w14:textId="4ED6C327">
            <w:pPr>
              <w:widowControl/>
              <w:numPr>
                <w:ilvl w:val="0"/>
                <w:numId w:val="9"/>
              </w:numPr>
              <w:ind w:left="323" w:hanging="284"/>
              <w:contextualSpacing/>
              <w:jc w:val="left"/>
            </w:pPr>
            <w:r w:rsidRPr="00AD435E">
              <w:t>Also take into account different languages when needed</w:t>
            </w:r>
          </w:p>
        </w:tc>
      </w:tr>
      <w:tr w:rsidRPr="00454399" w:rsidR="00AD435E" w:rsidTr="00832509" w14:paraId="5FD96926" w14:textId="77777777">
        <w:trPr>
          <w:trHeight w:val="238"/>
        </w:trPr>
        <w:tc>
          <w:tcPr>
            <w:tcW w:w="965" w:type="pct"/>
          </w:tcPr>
          <w:p w:rsidRPr="00AD435E" w:rsidR="00AD435E" w:rsidP="00AD435E" w:rsidRDefault="00AD435E" w14:paraId="39E0284A" w14:textId="34E05933">
            <w:pPr>
              <w:pStyle w:val="TableRow"/>
              <w:rPr>
                <w:b/>
                <w:bCs/>
              </w:rPr>
            </w:pPr>
            <w:r w:rsidRPr="00AD435E">
              <w:rPr>
                <w:b/>
                <w:bCs/>
              </w:rPr>
              <w:t xml:space="preserve">Inclusive physical platforms </w:t>
            </w:r>
          </w:p>
        </w:tc>
        <w:tc>
          <w:tcPr>
            <w:tcW w:w="1976" w:type="pct"/>
          </w:tcPr>
          <w:p w:rsidRPr="00E0047A" w:rsidR="00AD435E" w:rsidP="00AD435E" w:rsidRDefault="00AD435E" w14:paraId="67767832" w14:textId="1DCAD864">
            <w:pPr>
              <w:pStyle w:val="TableCell"/>
              <w:jc w:val="left"/>
              <w:rPr>
                <w:rFonts w:eastAsia="Times New Roman" w:cs="Arial"/>
                <w:color w:val="3F3F3F"/>
                <w:kern w:val="24"/>
                <w:sz w:val="18"/>
                <w:szCs w:val="18"/>
                <w:lang w:val="lv-LV"/>
              </w:rPr>
            </w:pPr>
            <w:r w:rsidRPr="00AD435E">
              <w:rPr>
                <w:rFonts w:eastAsia="Times New Roman" w:cs="Arial"/>
                <w:color w:val="3F3F3F"/>
                <w:kern w:val="24"/>
                <w:sz w:val="18"/>
                <w:szCs w:val="18"/>
                <w:lang w:val="lv-LV"/>
              </w:rPr>
              <w:t>Physical service access points must be designed and operated with diverse needs in mind to ensure all users, regardless of their individual characteristics, can easily access, navigate and successfully achieve their desired service outcome.</w:t>
            </w:r>
          </w:p>
        </w:tc>
        <w:tc>
          <w:tcPr>
            <w:tcW w:w="2059" w:type="pct"/>
          </w:tcPr>
          <w:p w:rsidRPr="00AD435E" w:rsidR="00AD435E" w:rsidP="00AD435E" w:rsidRDefault="00AD435E" w14:paraId="09DC2629" w14:textId="77777777">
            <w:pPr>
              <w:widowControl/>
              <w:numPr>
                <w:ilvl w:val="0"/>
                <w:numId w:val="9"/>
              </w:numPr>
              <w:ind w:left="323" w:hanging="284"/>
              <w:contextualSpacing/>
              <w:jc w:val="left"/>
            </w:pPr>
            <w:r w:rsidRPr="00AD435E">
              <w:t>Identify the targets and different sub-groups that require specific developments</w:t>
            </w:r>
          </w:p>
          <w:p w:rsidRPr="00AD435E" w:rsidR="00AD435E" w:rsidP="00AD435E" w:rsidRDefault="00AD435E" w14:paraId="5DB09E5A" w14:textId="77777777">
            <w:pPr>
              <w:widowControl/>
              <w:numPr>
                <w:ilvl w:val="0"/>
                <w:numId w:val="9"/>
              </w:numPr>
              <w:ind w:left="323" w:hanging="284"/>
              <w:contextualSpacing/>
              <w:jc w:val="left"/>
            </w:pPr>
            <w:r w:rsidRPr="00AD435E">
              <w:t xml:space="preserve">Development of inclusive, safe and available infrastructure </w:t>
            </w:r>
          </w:p>
          <w:p w:rsidRPr="00AD435E" w:rsidR="00AD435E" w:rsidP="00AD435E" w:rsidRDefault="00AD435E" w14:paraId="7F32EDCA" w14:textId="5BB7CA05">
            <w:pPr>
              <w:widowControl/>
              <w:numPr>
                <w:ilvl w:val="0"/>
                <w:numId w:val="9"/>
              </w:numPr>
              <w:ind w:left="323" w:hanging="284"/>
              <w:contextualSpacing/>
              <w:jc w:val="left"/>
            </w:pPr>
            <w:r w:rsidRPr="00AD435E">
              <w:t>Testing of infrastructure (e.g., together with targeted communities through representative entities, such as NGOs)</w:t>
            </w:r>
          </w:p>
        </w:tc>
      </w:tr>
      <w:tr w:rsidRPr="00454399" w:rsidR="00AD435E" w:rsidTr="00832509" w14:paraId="2A2F8030" w14:textId="77777777">
        <w:trPr>
          <w:trHeight w:val="238"/>
        </w:trPr>
        <w:tc>
          <w:tcPr>
            <w:tcW w:w="965" w:type="pct"/>
          </w:tcPr>
          <w:p w:rsidRPr="00AD435E" w:rsidR="00AD435E" w:rsidP="00AD435E" w:rsidRDefault="00AD435E" w14:paraId="32A3BFEE" w14:textId="6804E297">
            <w:pPr>
              <w:pStyle w:val="TableRow"/>
              <w:rPr>
                <w:b/>
                <w:bCs/>
              </w:rPr>
            </w:pPr>
            <w:r w:rsidRPr="00AD435E">
              <w:rPr>
                <w:b/>
                <w:bCs/>
              </w:rPr>
              <w:t xml:space="preserve">Inclusion of Ombudsman in public service design </w:t>
            </w:r>
          </w:p>
        </w:tc>
        <w:tc>
          <w:tcPr>
            <w:tcW w:w="1976" w:type="pct"/>
          </w:tcPr>
          <w:p w:rsidRPr="00E0047A" w:rsidR="00AD435E" w:rsidP="00AD435E" w:rsidRDefault="00AD435E" w14:paraId="4F06E13B" w14:textId="1E75B4C4">
            <w:pPr>
              <w:pStyle w:val="TableCell"/>
              <w:jc w:val="left"/>
              <w:rPr>
                <w:rFonts w:eastAsia="Times New Roman" w:cs="Arial"/>
                <w:color w:val="3F3F3F"/>
                <w:kern w:val="24"/>
                <w:sz w:val="18"/>
                <w:szCs w:val="18"/>
                <w:lang w:val="lv-LV"/>
              </w:rPr>
            </w:pPr>
            <w:r w:rsidRPr="00AD435E">
              <w:rPr>
                <w:rFonts w:eastAsia="Times New Roman" w:cs="Arial"/>
                <w:color w:val="3F3F3F"/>
                <w:kern w:val="24"/>
                <w:sz w:val="18"/>
                <w:szCs w:val="18"/>
                <w:lang w:val="lv-LV"/>
              </w:rPr>
              <w:t>Building on its practical experience in defending human rights and interests, the Ombudsman can introduce new insights for service design. This entails capturing real life user experiences and addressing the gaps and challenges in equitable service provision.</w:t>
            </w:r>
          </w:p>
        </w:tc>
        <w:tc>
          <w:tcPr>
            <w:tcW w:w="2059" w:type="pct"/>
          </w:tcPr>
          <w:p w:rsidRPr="00AD435E" w:rsidR="00AD435E" w:rsidP="00AD435E" w:rsidRDefault="00AD435E" w14:paraId="24A48AFD" w14:textId="77777777">
            <w:pPr>
              <w:widowControl/>
              <w:numPr>
                <w:ilvl w:val="0"/>
                <w:numId w:val="9"/>
              </w:numPr>
              <w:ind w:left="323" w:hanging="284"/>
              <w:contextualSpacing/>
              <w:jc w:val="left"/>
            </w:pPr>
            <w:r w:rsidRPr="00AD435E">
              <w:t>Consultation (through, e.g., regular meetings) with the Ombudsman</w:t>
            </w:r>
          </w:p>
          <w:p w:rsidRPr="00AD435E" w:rsidR="00AD435E" w:rsidP="00AD435E" w:rsidRDefault="00AD435E" w14:paraId="55FB711E" w14:textId="5774BFD6">
            <w:pPr>
              <w:widowControl/>
              <w:numPr>
                <w:ilvl w:val="0"/>
                <w:numId w:val="9"/>
              </w:numPr>
              <w:ind w:left="323" w:hanging="284"/>
              <w:contextualSpacing/>
              <w:jc w:val="left"/>
            </w:pPr>
            <w:r w:rsidRPr="00AD435E">
              <w:t>Establishment of a direct communication line between an entity supervising public service delivery and the Ombudsman office</w:t>
            </w:r>
          </w:p>
        </w:tc>
      </w:tr>
      <w:tr w:rsidRPr="00454399" w:rsidR="00AD435E" w:rsidTr="00832509" w14:paraId="1FC71486" w14:textId="77777777">
        <w:trPr>
          <w:trHeight w:val="238"/>
        </w:trPr>
        <w:tc>
          <w:tcPr>
            <w:tcW w:w="965" w:type="pct"/>
          </w:tcPr>
          <w:p w:rsidRPr="00AD435E" w:rsidR="00AD435E" w:rsidP="00AD435E" w:rsidRDefault="00AD435E" w14:paraId="21E971F2" w14:textId="0D95C0FB">
            <w:pPr>
              <w:pStyle w:val="TableRow"/>
              <w:rPr>
                <w:b/>
                <w:bCs/>
              </w:rPr>
            </w:pPr>
            <w:r w:rsidRPr="00AD435E">
              <w:rPr>
                <w:b/>
                <w:bCs/>
              </w:rPr>
              <w:t>Integration of language variation in public services</w:t>
            </w:r>
          </w:p>
        </w:tc>
        <w:tc>
          <w:tcPr>
            <w:tcW w:w="1976" w:type="pct"/>
          </w:tcPr>
          <w:p w:rsidRPr="00AD435E" w:rsidR="00AD435E" w:rsidP="00AD435E" w:rsidRDefault="00AD435E" w14:paraId="13C50E95" w14:textId="45190C50">
            <w:pPr>
              <w:pStyle w:val="TableCell"/>
              <w:jc w:val="left"/>
              <w:rPr>
                <w:rFonts w:eastAsia="Times New Roman" w:cs="Arial"/>
                <w:color w:val="3F3F3F"/>
                <w:kern w:val="24"/>
                <w:sz w:val="18"/>
                <w:szCs w:val="18"/>
                <w:lang w:val="lv-LV"/>
              </w:rPr>
            </w:pPr>
            <w:r w:rsidRPr="00AD435E">
              <w:rPr>
                <w:rFonts w:eastAsia="Times New Roman" w:cs="Arial"/>
                <w:color w:val="3F3F3F"/>
                <w:kern w:val="24"/>
                <w:sz w:val="18"/>
                <w:szCs w:val="18"/>
                <w:lang w:val="lv-LV"/>
              </w:rPr>
              <w:t>Offering services with language options allows users to achieve their needs using the language they find most convenient and effective.</w:t>
            </w:r>
          </w:p>
        </w:tc>
        <w:tc>
          <w:tcPr>
            <w:tcW w:w="2059" w:type="pct"/>
          </w:tcPr>
          <w:p w:rsidRPr="00AD435E" w:rsidR="00AD435E" w:rsidP="00AD435E" w:rsidRDefault="00AD435E" w14:paraId="6CFA3C91" w14:textId="77777777">
            <w:pPr>
              <w:widowControl/>
              <w:numPr>
                <w:ilvl w:val="0"/>
                <w:numId w:val="9"/>
              </w:numPr>
              <w:ind w:left="323" w:hanging="284"/>
              <w:contextualSpacing/>
              <w:jc w:val="left"/>
            </w:pPr>
            <w:r w:rsidRPr="00AD435E">
              <w:t>Development of service websites in different languages</w:t>
            </w:r>
          </w:p>
          <w:p w:rsidRPr="00AD435E" w:rsidR="00AD435E" w:rsidP="00AD435E" w:rsidRDefault="00AD435E" w14:paraId="09CD306A" w14:textId="56F268E8">
            <w:pPr>
              <w:widowControl/>
              <w:numPr>
                <w:ilvl w:val="0"/>
                <w:numId w:val="9"/>
              </w:numPr>
              <w:ind w:left="323" w:hanging="284"/>
              <w:contextualSpacing/>
              <w:jc w:val="left"/>
            </w:pPr>
            <w:r w:rsidRPr="00AD435E">
              <w:t>Language course provision for staff in service delivery</w:t>
            </w:r>
          </w:p>
        </w:tc>
      </w:tr>
      <w:tr w:rsidRPr="00454399" w:rsidR="00AD435E" w:rsidTr="00832509" w14:paraId="1BFD7A2A" w14:textId="77777777">
        <w:trPr>
          <w:trHeight w:val="238"/>
        </w:trPr>
        <w:tc>
          <w:tcPr>
            <w:tcW w:w="965" w:type="pct"/>
          </w:tcPr>
          <w:p w:rsidRPr="00AD435E" w:rsidR="00AD435E" w:rsidP="00AD435E" w:rsidRDefault="00AD435E" w14:paraId="089BCB05" w14:textId="324EFC89">
            <w:pPr>
              <w:pStyle w:val="TableRow"/>
              <w:rPr>
                <w:b/>
                <w:bCs/>
              </w:rPr>
            </w:pPr>
            <w:r w:rsidRPr="00AD435E">
              <w:rPr>
                <w:b/>
                <w:bCs/>
              </w:rPr>
              <w:t xml:space="preserve">Raising awareness among staff engaged in service provision </w:t>
            </w:r>
          </w:p>
        </w:tc>
        <w:tc>
          <w:tcPr>
            <w:tcW w:w="1976" w:type="pct"/>
          </w:tcPr>
          <w:p w:rsidRPr="00AD435E" w:rsidR="00AD435E" w:rsidP="00AD435E" w:rsidRDefault="00AD435E" w14:paraId="5BC84326" w14:textId="1B3AD87B">
            <w:pPr>
              <w:pStyle w:val="TableCell"/>
              <w:jc w:val="left"/>
              <w:rPr>
                <w:rFonts w:eastAsia="Times New Roman" w:cs="Arial"/>
                <w:color w:val="3F3F3F"/>
                <w:kern w:val="24"/>
                <w:sz w:val="18"/>
                <w:szCs w:val="18"/>
                <w:lang w:val="lv-LV"/>
              </w:rPr>
            </w:pPr>
            <w:r w:rsidRPr="00AD435E">
              <w:rPr>
                <w:rFonts w:eastAsia="Times New Roman" w:cs="Arial"/>
                <w:color w:val="3F3F3F"/>
                <w:kern w:val="24"/>
                <w:sz w:val="18"/>
                <w:szCs w:val="18"/>
                <w:lang w:val="lv-LV"/>
              </w:rPr>
              <w:t>Staff that understands diverse user characteristics is key to delivering personalised support that meets the distinct needs of every service user.</w:t>
            </w:r>
          </w:p>
        </w:tc>
        <w:tc>
          <w:tcPr>
            <w:tcW w:w="2059" w:type="pct"/>
          </w:tcPr>
          <w:p w:rsidRPr="00AD435E" w:rsidR="00AD435E" w:rsidP="00AD435E" w:rsidRDefault="00AD435E" w14:paraId="3B8FAFD0" w14:textId="77777777">
            <w:pPr>
              <w:widowControl/>
              <w:numPr>
                <w:ilvl w:val="0"/>
                <w:numId w:val="9"/>
              </w:numPr>
              <w:ind w:left="323" w:hanging="284"/>
              <w:contextualSpacing/>
              <w:jc w:val="left"/>
            </w:pPr>
            <w:r w:rsidRPr="00AD435E">
              <w:t>Training provision on different needs of users and ways to adjust service delivery</w:t>
            </w:r>
          </w:p>
          <w:p w:rsidRPr="00AD435E" w:rsidR="00AD435E" w:rsidP="00AD435E" w:rsidRDefault="00AD435E" w14:paraId="2CC4FBD2" w14:textId="1258A332">
            <w:pPr>
              <w:widowControl/>
              <w:numPr>
                <w:ilvl w:val="0"/>
                <w:numId w:val="9"/>
              </w:numPr>
              <w:ind w:left="323" w:hanging="284"/>
              <w:contextualSpacing/>
              <w:jc w:val="left"/>
            </w:pPr>
            <w:r w:rsidRPr="00AD435E">
              <w:t>Simulation exercises</w:t>
            </w:r>
          </w:p>
        </w:tc>
      </w:tr>
    </w:tbl>
    <w:p w:rsidRPr="00454399" w:rsidR="00B17598" w:rsidP="00B17598" w:rsidRDefault="00B17598" w14:paraId="7B5587AD" w14:textId="5FDD35B4">
      <w:pPr>
        <w:pStyle w:val="Sourcenotes"/>
      </w:pPr>
      <w:r>
        <w:t>Source: Author illustration</w:t>
      </w:r>
      <w:r w:rsidR="00BC5388">
        <w:t>.</w:t>
      </w:r>
    </w:p>
    <w:p w:rsidRPr="00144972" w:rsidR="003F4515" w:rsidP="003F4515" w:rsidRDefault="003F4515" w14:paraId="1E651F20" w14:textId="77777777">
      <w:pPr>
        <w:pStyle w:val="Para"/>
        <w:numPr>
          <w:ilvl w:val="0"/>
          <w:numId w:val="0"/>
        </w:numPr>
        <w:rPr>
          <w:lang w:val="en-US"/>
        </w:rPr>
      </w:pPr>
    </w:p>
    <w:p w:rsidR="000265FD" w:rsidP="004E16A6" w:rsidRDefault="00681C23" w14:paraId="2759FABC" w14:textId="120172F1">
      <w:pPr>
        <w:pStyle w:val="Heading1"/>
        <w:framePr w:wrap="notBeside" w:x="1228" w:y="-148"/>
      </w:pPr>
      <w:bookmarkStart w:name="_Toc223413742" w:id="166"/>
      <w:r>
        <w:t xml:space="preserve">Country </w:t>
      </w:r>
      <w:r w:rsidR="00EA2409">
        <w:t>a</w:t>
      </w:r>
      <w:r>
        <w:t>pproaches to measuring, engaging and improving public services</w:t>
      </w:r>
      <w:bookmarkEnd w:id="166"/>
      <w:r>
        <w:t xml:space="preserve"> </w:t>
      </w:r>
    </w:p>
    <w:p w:rsidR="00732074" w:rsidP="00732074" w:rsidRDefault="00732074" w14:paraId="2C8A91BB" w14:textId="6277A46D">
      <w:pPr>
        <w:pStyle w:val="Para"/>
        <w:numPr>
          <w:ilvl w:val="0"/>
          <w:numId w:val="0"/>
        </w:numPr>
      </w:pPr>
      <w:r w:rsidRPr="00832509">
        <w:rPr>
          <w:b/>
          <w:bCs/>
        </w:rPr>
        <w:t>The OECD recommends that governments undertake regular surveys and consultations of public administrative service users to understand needs and to examine the aspects of user experience which influence satisfaction</w:t>
      </w:r>
      <w:r w:rsidR="00BA0453">
        <w:t xml:space="preserve"> </w:t>
      </w:r>
      <w:sdt>
        <w:sdtPr>
          <w:id w:val="1806740047"/>
          <w:citation/>
        </w:sdtPr>
        <w:sdtEndPr/>
        <w:sdtContent>
          <w:r w:rsidR="000435F9">
            <w:fldChar w:fldCharType="begin"/>
          </w:r>
          <w:r w:rsidR="000435F9">
            <w:instrText xml:space="preserve"> CITATION Mend_kFOsx__1Awz6R5ufQRYAZaA \l 2057 </w:instrText>
          </w:r>
          <w:r w:rsidR="000435F9">
            <w:fldChar w:fldCharType="separate"/>
          </w:r>
          <w:r w:rsidRPr="00F86F21" w:rsidR="00F86F21">
            <w:rPr>
              <w:noProof/>
            </w:rPr>
            <w:t>(OECD, 2024</w:t>
          </w:r>
          <w:r w:rsidRPr="00F86F21" w:rsidR="00F86F21">
            <w:rPr>
              <w:noProof/>
              <w:vertAlign w:val="subscript"/>
            </w:rPr>
            <w:t>[1]</w:t>
          </w:r>
          <w:r w:rsidRPr="00F86F21" w:rsidR="00F86F21">
            <w:rPr>
              <w:noProof/>
            </w:rPr>
            <w:t>)</w:t>
          </w:r>
          <w:r w:rsidR="000435F9">
            <w:fldChar w:fldCharType="end"/>
          </w:r>
        </w:sdtContent>
      </w:sdt>
      <w:r>
        <w:t>. User feedback mechanisms, such as user panels and feedback loo</w:t>
      </w:r>
      <w:r w:rsidR="00AE769D">
        <w:t>p</w:t>
      </w:r>
      <w:r>
        <w:t xml:space="preserve">s embedded in digital platforms, are also useful sources of information on the experiences of </w:t>
      </w:r>
      <w:r w:rsidR="00AE769D">
        <w:t>users and</w:t>
      </w:r>
      <w:r>
        <w:t xml:space="preserve"> can help reshape services to make them more human-centered.</w:t>
      </w:r>
    </w:p>
    <w:p w:rsidR="00732074" w:rsidP="0048789B" w:rsidRDefault="00732074" w14:paraId="5B057C10" w14:textId="77777777">
      <w:pPr>
        <w:pStyle w:val="Heading2"/>
      </w:pPr>
      <w:bookmarkStart w:name="_Toc223413743" w:id="167"/>
      <w:r>
        <w:t>User experience surveys</w:t>
      </w:r>
      <w:bookmarkEnd w:id="167"/>
    </w:p>
    <w:p w:rsidR="00732074" w:rsidP="00732074" w:rsidRDefault="00732074" w14:paraId="7C755670" w14:textId="77777777">
      <w:pPr>
        <w:pStyle w:val="Para"/>
        <w:numPr>
          <w:ilvl w:val="0"/>
          <w:numId w:val="0"/>
        </w:numPr>
      </w:pPr>
      <w:r w:rsidRPr="00832509">
        <w:rPr>
          <w:b/>
          <w:bCs/>
        </w:rPr>
        <w:t>User experience surveys collect direct feedback from users who have recently interacted with a public administrative service, offering valuable insights into how people perceive the quality, accessibility and responsiveness of the services they rely on.</w:t>
      </w:r>
      <w:r>
        <w:t xml:space="preserve"> Respondents are typically invited to reflect on specific elements of their experience as well as their overall satisfaction, allowing governments to identify what works well and what may require improvement. </w:t>
      </w:r>
    </w:p>
    <w:p w:rsidR="00732074" w:rsidP="00732074" w:rsidRDefault="00732074" w14:paraId="3C8204B8" w14:textId="05BCB4B0">
      <w:pPr>
        <w:pStyle w:val="Para"/>
        <w:numPr>
          <w:ilvl w:val="0"/>
          <w:numId w:val="0"/>
        </w:numPr>
      </w:pPr>
      <w:r w:rsidRPr="00832509">
        <w:rPr>
          <w:b/>
          <w:bCs/>
        </w:rPr>
        <w:t>Across the EU10, these</w:t>
      </w:r>
      <w:r>
        <w:t xml:space="preserve"> </w:t>
      </w:r>
      <w:r w:rsidRPr="000435F9">
        <w:rPr>
          <w:b/>
          <w:bCs/>
        </w:rPr>
        <w:t>surveys are carried out through both national-level and agency-level initiatives</w:t>
      </w:r>
      <w:r w:rsidR="000435F9">
        <w:t xml:space="preserve"> (</w:t>
      </w:r>
      <w:r w:rsidR="005955EB">
        <w:fldChar w:fldCharType="begin"/>
      </w:r>
      <w:r w:rsidR="005955EB">
        <w:instrText xml:space="preserve"> REF _Ref215475191 \h </w:instrText>
      </w:r>
      <w:r w:rsidR="005955EB">
        <w:fldChar w:fldCharType="separate"/>
      </w:r>
      <w:r w:rsidR="00543B3D">
        <w:t>Figure </w:t>
      </w:r>
      <w:r w:rsidR="00543B3D">
        <w:rPr>
          <w:noProof/>
        </w:rPr>
        <w:t>5</w:t>
      </w:r>
      <w:r w:rsidR="00543B3D">
        <w:t>.</w:t>
      </w:r>
      <w:r w:rsidR="00543B3D">
        <w:rPr>
          <w:noProof/>
        </w:rPr>
        <w:t>1</w:t>
      </w:r>
      <w:r w:rsidR="005955EB">
        <w:fldChar w:fldCharType="end"/>
      </w:r>
      <w:r w:rsidR="005955EB">
        <w:t>)</w:t>
      </w:r>
      <w:r>
        <w:t>. Spain, Greece, Croatia, Ireland and Lithuania implement national surveys that collect information from users across a broad range of public services. These efforts offer a comprehensive view of service delivery within each country, making it possible to compare experiences across different administrative domains and highlight areas where targeted action could strengthen service quality.</w:t>
      </w:r>
    </w:p>
    <w:p w:rsidR="00732074" w:rsidP="00732074" w:rsidRDefault="00732074" w14:paraId="62FBCE66" w14:textId="77AC513A">
      <w:pPr>
        <w:pStyle w:val="Caption"/>
      </w:pPr>
      <w:bookmarkStart w:name="_Ref215475191" w:id="168"/>
      <w:bookmarkStart w:name="_Toc223413775" w:id="169"/>
      <w:r>
        <w:t>Figure </w:t>
      </w:r>
      <w:r>
        <w:rPr>
          <w:noProof/>
        </w:rPr>
        <w:fldChar w:fldCharType="begin"/>
      </w:r>
      <w:r>
        <w:rPr>
          <w:noProof/>
        </w:rPr>
        <w:instrText xml:space="preserve"> STYLEREF 1 \s </w:instrText>
      </w:r>
      <w:r>
        <w:rPr>
          <w:noProof/>
        </w:rPr>
        <w:fldChar w:fldCharType="separate"/>
      </w:r>
      <w:r w:rsidR="00543B3D">
        <w:rPr>
          <w:noProof/>
        </w:rPr>
        <w:t>5</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1</w:t>
      </w:r>
      <w:r>
        <w:rPr>
          <w:noProof/>
        </w:rPr>
        <w:fldChar w:fldCharType="end"/>
      </w:r>
      <w:bookmarkEnd w:id="168"/>
      <w:r>
        <w:t>. Existence of user satisfaction survey, Serving Citizens 2024</w:t>
      </w:r>
      <w:bookmarkEnd w:id="169"/>
    </w:p>
    <w:p w:rsidR="00732074" w:rsidP="00732074" w:rsidRDefault="00732074" w14:paraId="712A0ACD" w14:textId="77777777">
      <w:pPr>
        <w:pStyle w:val="Figure"/>
        <w:rPr>
          <w:i/>
        </w:rPr>
      </w:pPr>
      <w:r>
        <w:rPr>
          <w:i/>
          <w:noProof/>
        </w:rPr>
        <w:drawing>
          <wp:inline distT="0" distB="0" distL="0" distR="0" wp14:anchorId="54F3F85F" wp14:editId="5EE948CA">
            <wp:extent cx="4751709" cy="2121435"/>
            <wp:effectExtent l="0" t="0" r="0" b="0"/>
            <wp:docPr id="1536624968" name="Picture 4"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624968" name="Picture 4" descr="A blue circle with white text&#10;&#10;AI-generated content may be incorrect."/>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b="10699"/>
                    <a:stretch>
                      <a:fillRect/>
                    </a:stretch>
                  </pic:blipFill>
                  <pic:spPr bwMode="auto">
                    <a:xfrm>
                      <a:off x="0" y="0"/>
                      <a:ext cx="4786740" cy="2137075"/>
                    </a:xfrm>
                    <a:prstGeom prst="rect">
                      <a:avLst/>
                    </a:prstGeom>
                    <a:noFill/>
                    <a:ln>
                      <a:noFill/>
                    </a:ln>
                    <a:extLst>
                      <a:ext uri="{53640926-AAD7-44D8-BBD7-CCE9431645EC}">
                        <a14:shadowObscured xmlns:a14="http://schemas.microsoft.com/office/drawing/2010/main"/>
                      </a:ext>
                    </a:extLst>
                  </pic:spPr>
                </pic:pic>
              </a:graphicData>
            </a:graphic>
          </wp:inline>
        </w:drawing>
      </w:r>
    </w:p>
    <w:p w:rsidR="00732074" w:rsidP="00732074" w:rsidRDefault="00732074" w14:paraId="74ED3BF4" w14:textId="549EA415">
      <w:pPr>
        <w:pStyle w:val="Sourcenotes"/>
      </w:pPr>
      <w:r w:rsidRPr="004802B4">
        <w:t>Source:</w:t>
      </w:r>
      <w:r w:rsidR="00CB189C">
        <w:t xml:space="preserve"> </w:t>
      </w:r>
      <w:sdt>
        <w:sdtPr>
          <w:id w:val="-2073343225"/>
          <w:citation/>
        </w:sdtPr>
        <w:sdtEndPr/>
        <w:sdtContent>
          <w:r w:rsidR="00CB189C">
            <w:fldChar w:fldCharType="begin"/>
          </w:r>
          <w:r w:rsidR="00CB189C">
            <w:instrText xml:space="preserve"> CITATION Mend_3D67lUxdTjmhmslx8w5nRg \l 2057 </w:instrText>
          </w:r>
          <w:r w:rsidR="00CB189C">
            <w:fldChar w:fldCharType="separate"/>
          </w:r>
          <w:r w:rsidRPr="00F86F21" w:rsidR="00F86F21">
            <w:rPr>
              <w:noProof/>
            </w:rPr>
            <w:t>(OECD, Forthcoming</w:t>
          </w:r>
          <w:r w:rsidRPr="00F86F21" w:rsidR="00F86F21">
            <w:rPr>
              <w:noProof/>
              <w:vertAlign w:val="subscript"/>
            </w:rPr>
            <w:t>[17]</w:t>
          </w:r>
          <w:r w:rsidRPr="00F86F21" w:rsidR="00F86F21">
            <w:rPr>
              <w:noProof/>
            </w:rPr>
            <w:t>)</w:t>
          </w:r>
          <w:r w:rsidR="00CB189C">
            <w:fldChar w:fldCharType="end"/>
          </w:r>
        </w:sdtContent>
      </w:sdt>
      <w:r w:rsidR="00CB189C">
        <w:t>.</w:t>
      </w:r>
    </w:p>
    <w:p w:rsidRPr="00BA12E7" w:rsidR="00732074" w:rsidP="00732074" w:rsidRDefault="00732074" w14:paraId="4C21E59E" w14:textId="77777777">
      <w:pPr>
        <w:pStyle w:val="Para"/>
        <w:numPr>
          <w:ilvl w:val="0"/>
          <w:numId w:val="0"/>
        </w:numPr>
      </w:pPr>
      <w:r w:rsidRPr="00832509">
        <w:rPr>
          <w:b/>
          <w:bCs/>
        </w:rPr>
        <w:t>In Estonia, Finland, Latvia and Slovenia, user experience data is gathered predominantly through agency-level surveys.</w:t>
      </w:r>
      <w:r>
        <w:t xml:space="preserve"> These are led by individual ministries or agencies and often focus on specific services or administrative processes. While narrower in scope, agency-led surveys provide detailed and operationally relevant insights that can be quickly translated into service improvements.</w:t>
      </w:r>
      <w:r w:rsidRPr="00E85498">
        <w:t xml:space="preserve"> As such, these different forms of evidence can be strong complements to each other.</w:t>
      </w:r>
    </w:p>
    <w:p w:rsidR="00732074" w:rsidP="00732074" w:rsidRDefault="00732074" w14:paraId="4B72C07B" w14:textId="5C86817B">
      <w:pPr>
        <w:pStyle w:val="Para"/>
        <w:numPr>
          <w:ilvl w:val="0"/>
          <w:numId w:val="0"/>
        </w:numPr>
      </w:pPr>
      <w:r>
        <w:t>The Serving Citizens survey has surveyed 12 public administrative services that are commonly covered through user experience surveys</w:t>
      </w:r>
      <w:r w:rsidR="007C3CEA">
        <w:t xml:space="preserve"> (</w:t>
      </w:r>
      <w:r w:rsidR="007C3CEA">
        <w:fldChar w:fldCharType="begin"/>
      </w:r>
      <w:r w:rsidR="007C3CEA">
        <w:instrText xml:space="preserve"> REF _Ref215475314 \h </w:instrText>
      </w:r>
      <w:r w:rsidR="007C3CEA">
        <w:fldChar w:fldCharType="separate"/>
      </w:r>
      <w:r w:rsidR="00543B3D">
        <w:t>Figure </w:t>
      </w:r>
      <w:r w:rsidR="00543B3D">
        <w:rPr>
          <w:noProof/>
        </w:rPr>
        <w:t>5</w:t>
      </w:r>
      <w:r w:rsidR="00543B3D">
        <w:t>.</w:t>
      </w:r>
      <w:r w:rsidR="00543B3D">
        <w:rPr>
          <w:noProof/>
        </w:rPr>
        <w:t>2</w:t>
      </w:r>
      <w:r w:rsidR="007C3CEA">
        <w:fldChar w:fldCharType="end"/>
      </w:r>
      <w:r w:rsidR="007C3CEA">
        <w:t>)</w:t>
      </w:r>
      <w:r>
        <w:t xml:space="preserve">. Among the EU-10 countries, nine out of ten countries conduct surveys on filing income taxes, and on birth, marriage, and death certificates. Similarly, 8 out of 10 countries conduct user satisfaction surveys on the issuance of national ID cards and drivers’ licences. Old age pensions and unemployment benefits (both covered in 7 out of 10 countries) are also common. </w:t>
      </w:r>
    </w:p>
    <w:p w:rsidR="007C3CEA" w:rsidRDefault="007C3CEA" w14:paraId="6224CA2D" w14:textId="54825F5D">
      <w:pPr>
        <w:pStyle w:val="Caption"/>
      </w:pPr>
      <w:bookmarkStart w:name="_Ref215475314" w:id="170"/>
      <w:bookmarkStart w:name="_Toc223413776" w:id="171"/>
      <w:r>
        <w:t>Figure </w:t>
      </w:r>
      <w:r>
        <w:rPr>
          <w:noProof/>
        </w:rPr>
        <w:fldChar w:fldCharType="begin"/>
      </w:r>
      <w:r>
        <w:rPr>
          <w:noProof/>
        </w:rPr>
        <w:instrText xml:space="preserve"> STYLEREF 1 \s </w:instrText>
      </w:r>
      <w:r>
        <w:rPr>
          <w:noProof/>
        </w:rPr>
        <w:fldChar w:fldCharType="separate"/>
      </w:r>
      <w:r w:rsidR="00543B3D">
        <w:rPr>
          <w:noProof/>
        </w:rPr>
        <w:t>5</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2</w:t>
      </w:r>
      <w:r>
        <w:rPr>
          <w:noProof/>
        </w:rPr>
        <w:fldChar w:fldCharType="end"/>
      </w:r>
      <w:bookmarkEnd w:id="170"/>
      <w:r>
        <w:t>. Existence of user satisfaction surveys by service, Serving Citizens 2025</w:t>
      </w:r>
      <w:bookmarkEnd w:id="171"/>
      <w:r>
        <w:t xml:space="preserve"> </w:t>
      </w:r>
    </w:p>
    <w:p w:rsidR="007C3CEA" w:rsidRDefault="007C3CEA" w14:paraId="490306E2" w14:textId="70D869B0">
      <w:pPr>
        <w:pStyle w:val="Figure"/>
        <w:rPr>
          <w:i/>
        </w:rPr>
      </w:pPr>
      <w:r>
        <w:rPr>
          <w:noProof/>
        </w:rPr>
        <w:drawing>
          <wp:inline distT="0" distB="0" distL="0" distR="0" wp14:anchorId="395B83AE" wp14:editId="02A4E09F">
            <wp:extent cx="4973701" cy="3976708"/>
            <wp:effectExtent l="0" t="0" r="0" b="5080"/>
            <wp:docPr id="232703060" name="Picture 3"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03060" name="Picture 3" descr="A graph of different colored squares&#10;&#10;AI-generated content may be incorrect."/>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987509" cy="3987748"/>
                    </a:xfrm>
                    <a:prstGeom prst="rect">
                      <a:avLst/>
                    </a:prstGeom>
                    <a:noFill/>
                    <a:ln>
                      <a:noFill/>
                    </a:ln>
                  </pic:spPr>
                </pic:pic>
              </a:graphicData>
            </a:graphic>
          </wp:inline>
        </w:drawing>
      </w:r>
    </w:p>
    <w:p w:rsidR="007C3CEA" w:rsidP="007C3CEA" w:rsidRDefault="00732074" w14:paraId="106BF319" w14:textId="25E702C6">
      <w:pPr>
        <w:pStyle w:val="Sourcenotes"/>
      </w:pPr>
      <w:r w:rsidRPr="004802B4">
        <w:t xml:space="preserve">Source: </w:t>
      </w:r>
      <w:sdt>
        <w:sdtPr>
          <w:id w:val="-1373607901"/>
          <w:citation/>
        </w:sdtPr>
        <w:sdtEndPr/>
        <w:sdtContent>
          <w:r w:rsidR="00CB189C">
            <w:fldChar w:fldCharType="begin"/>
          </w:r>
          <w:r w:rsidR="00CB189C">
            <w:instrText xml:space="preserve"> CITATION Mend_3D67lUxdTjmhmslx8w5nRg \l 2057 </w:instrText>
          </w:r>
          <w:r w:rsidR="00CB189C">
            <w:fldChar w:fldCharType="separate"/>
          </w:r>
          <w:r w:rsidRPr="00F86F21" w:rsidR="00F86F21">
            <w:rPr>
              <w:noProof/>
            </w:rPr>
            <w:t>(OECD, Forthcoming</w:t>
          </w:r>
          <w:r w:rsidRPr="00F86F21" w:rsidR="00F86F21">
            <w:rPr>
              <w:noProof/>
              <w:vertAlign w:val="subscript"/>
            </w:rPr>
            <w:t>[17]</w:t>
          </w:r>
          <w:r w:rsidRPr="00F86F21" w:rsidR="00F86F21">
            <w:rPr>
              <w:noProof/>
            </w:rPr>
            <w:t>)</w:t>
          </w:r>
          <w:r w:rsidR="00CB189C">
            <w:fldChar w:fldCharType="end"/>
          </w:r>
        </w:sdtContent>
      </w:sdt>
      <w:r w:rsidR="00CB189C">
        <w:t>.</w:t>
      </w:r>
    </w:p>
    <w:p w:rsidR="00732074" w:rsidP="00732074" w:rsidRDefault="00732074" w14:paraId="48441130" w14:textId="3414CC83">
      <w:pPr>
        <w:pStyle w:val="Para"/>
        <w:numPr>
          <w:ilvl w:val="0"/>
          <w:numId w:val="0"/>
        </w:numPr>
      </w:pPr>
      <w:r w:rsidRPr="00832509">
        <w:rPr>
          <w:b/>
          <w:bCs/>
        </w:rPr>
        <w:t>The usefulness of user satisfaction surveys is often limited by not collecting detailed demographic data about service users.</w:t>
      </w:r>
      <w:r>
        <w:t xml:space="preserve"> As a best practice, user satisfaction surveys should be designed to allow for comparisons between subpopulations. That is, the surveys should collect data that can be disaggregated by basic characteristics among survey respondents, such as age, gender, level of education and income. In addition, respondents’ geographical position, or channel used to access service</w:t>
      </w:r>
      <w:r w:rsidR="00C20883">
        <w:t>s</w:t>
      </w:r>
      <w:r>
        <w:t xml:space="preserve"> can provide important insights and deeper understanding about differentiated service experience among vulnerable user groups. All 5 countries that conduct national surveys – Spain, Greece, Ireland, Lithuania, and Croatia – collect information that can be disaggregated by age and gender. Four out of 5 countries also collect data on level of education, 3 on geographical location, and 3 on channels used. Less frequently, only Greece and Lithuania collected data on disability, and only Lithuania collected data on income</w:t>
      </w:r>
      <w:r w:rsidR="0096285F">
        <w:t xml:space="preserve"> (</w:t>
      </w:r>
      <w:r w:rsidR="00C21A07">
        <w:fldChar w:fldCharType="begin"/>
      </w:r>
      <w:r w:rsidR="00C21A07">
        <w:instrText xml:space="preserve"> REF _Ref215477688 \h </w:instrText>
      </w:r>
      <w:r w:rsidR="00C21A07">
        <w:fldChar w:fldCharType="separate"/>
      </w:r>
      <w:r w:rsidR="00543B3D">
        <w:t>Figure </w:t>
      </w:r>
      <w:r w:rsidR="00543B3D">
        <w:rPr>
          <w:noProof/>
        </w:rPr>
        <w:t>5</w:t>
      </w:r>
      <w:r w:rsidR="00543B3D">
        <w:t>.</w:t>
      </w:r>
      <w:r w:rsidR="00543B3D">
        <w:rPr>
          <w:noProof/>
        </w:rPr>
        <w:t>3</w:t>
      </w:r>
      <w:r w:rsidR="00C21A07">
        <w:fldChar w:fldCharType="end"/>
      </w:r>
      <w:r w:rsidR="00C21A07">
        <w:t>)</w:t>
      </w:r>
      <w:r>
        <w:t>.</w:t>
      </w:r>
    </w:p>
    <w:p w:rsidR="007C3CEA" w:rsidRDefault="007C3CEA" w14:paraId="115E5C0C" w14:textId="149B58AC">
      <w:pPr>
        <w:pStyle w:val="Caption"/>
      </w:pPr>
      <w:bookmarkStart w:name="_Ref215477688" w:id="172"/>
      <w:bookmarkStart w:name="_Toc223413777" w:id="173"/>
      <w:r>
        <w:t>Figure </w:t>
      </w:r>
      <w:r>
        <w:rPr>
          <w:noProof/>
        </w:rPr>
        <w:fldChar w:fldCharType="begin"/>
      </w:r>
      <w:r>
        <w:rPr>
          <w:noProof/>
        </w:rPr>
        <w:instrText xml:space="preserve"> STYLEREF 1 \s </w:instrText>
      </w:r>
      <w:r>
        <w:rPr>
          <w:noProof/>
        </w:rPr>
        <w:fldChar w:fldCharType="separate"/>
      </w:r>
      <w:r w:rsidR="00543B3D">
        <w:rPr>
          <w:noProof/>
        </w:rPr>
        <w:t>5</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3</w:t>
      </w:r>
      <w:r>
        <w:rPr>
          <w:noProof/>
        </w:rPr>
        <w:fldChar w:fldCharType="end"/>
      </w:r>
      <w:bookmarkEnd w:id="172"/>
      <w:r>
        <w:t>. Demographics collected in national user experience survey, Serving Citizens 2024</w:t>
      </w:r>
      <w:bookmarkEnd w:id="173"/>
      <w:r>
        <w:t xml:space="preserve"> </w:t>
      </w:r>
    </w:p>
    <w:p w:rsidRPr="007C3CEA" w:rsidR="007C3CEA" w:rsidP="007C3CEA" w:rsidRDefault="007C3CEA" w14:paraId="26411F04" w14:textId="2B4FA762">
      <w:pPr>
        <w:pStyle w:val="Para0"/>
      </w:pPr>
      <w:r>
        <w:rPr>
          <w:noProof/>
        </w:rPr>
        <w:drawing>
          <wp:inline distT="0" distB="0" distL="0" distR="0" wp14:anchorId="29D526A8" wp14:editId="7138BC84">
            <wp:extent cx="5892800" cy="1769745"/>
            <wp:effectExtent l="0" t="0" r="0" b="1905"/>
            <wp:docPr id="1776221356" name="Picture 12" descr="A blue rectangular box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221356" name="Picture 12" descr="A blue rectangular boxes with white text&#10;&#10;AI-generated content may be incorrect."/>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892800" cy="1769745"/>
                    </a:xfrm>
                    <a:prstGeom prst="rect">
                      <a:avLst/>
                    </a:prstGeom>
                    <a:noFill/>
                    <a:ln>
                      <a:noFill/>
                    </a:ln>
                  </pic:spPr>
                </pic:pic>
              </a:graphicData>
            </a:graphic>
          </wp:inline>
        </w:drawing>
      </w:r>
    </w:p>
    <w:p w:rsidR="00017570" w:rsidP="00017570" w:rsidRDefault="00017570" w14:paraId="60BB9BF6" w14:textId="2D2865A7">
      <w:pPr>
        <w:pStyle w:val="Sourcenotes"/>
      </w:pPr>
      <w:r w:rsidRPr="004802B4">
        <w:t xml:space="preserve">Source: </w:t>
      </w:r>
      <w:sdt>
        <w:sdtPr>
          <w:id w:val="377756649"/>
          <w:citation/>
        </w:sdtPr>
        <w:sdtEndPr/>
        <w:sdtContent>
          <w:r w:rsidR="00CB189C">
            <w:fldChar w:fldCharType="begin"/>
          </w:r>
          <w:r w:rsidR="00CB189C">
            <w:instrText xml:space="preserve"> CITATION Mend_3D67lUxdTjmhmslx8w5nRg \l 2057 </w:instrText>
          </w:r>
          <w:r w:rsidR="00CB189C">
            <w:fldChar w:fldCharType="separate"/>
          </w:r>
          <w:r w:rsidRPr="00F86F21" w:rsidR="00F86F21">
            <w:rPr>
              <w:noProof/>
            </w:rPr>
            <w:t>(OECD, Forthcoming</w:t>
          </w:r>
          <w:r w:rsidRPr="00F86F21" w:rsidR="00F86F21">
            <w:rPr>
              <w:noProof/>
              <w:vertAlign w:val="subscript"/>
            </w:rPr>
            <w:t>[17]</w:t>
          </w:r>
          <w:r w:rsidRPr="00F86F21" w:rsidR="00F86F21">
            <w:rPr>
              <w:noProof/>
            </w:rPr>
            <w:t>)</w:t>
          </w:r>
          <w:r w:rsidR="00CB189C">
            <w:fldChar w:fldCharType="end"/>
          </w:r>
        </w:sdtContent>
      </w:sdt>
      <w:r w:rsidR="00CB189C">
        <w:t>.</w:t>
      </w:r>
    </w:p>
    <w:p w:rsidR="00732074" w:rsidP="00732074" w:rsidRDefault="00732074" w14:paraId="156F3C7A" w14:textId="01F151D2">
      <w:pPr>
        <w:pStyle w:val="Para"/>
        <w:numPr>
          <w:ilvl w:val="0"/>
          <w:numId w:val="0"/>
        </w:numPr>
      </w:pPr>
      <w:r w:rsidRPr="00832509">
        <w:rPr>
          <w:b/>
          <w:bCs/>
        </w:rPr>
        <w:t>Stakeholder engagement is a significant factor in enhancing service performance</w:t>
      </w:r>
      <w:r w:rsidRPr="00E774A7">
        <w:t>, and the publication of data from user experience survey and on public services performance is essential in ensuring transparency, accountability, and the continual improvement of services.</w:t>
      </w:r>
      <w:r>
        <w:t xml:space="preserve"> All five countries that conduct national satisfaction survey publish the results. Lithuania, Ireland, Croatia, and Spain publish their survey results in reports. On the other hand, Greece publishes its data on a public dashboard</w:t>
      </w:r>
      <w:r w:rsidR="0048789B">
        <w:t xml:space="preserve"> (</w:t>
      </w:r>
      <w:r w:rsidR="0048789B">
        <w:fldChar w:fldCharType="begin"/>
      </w:r>
      <w:r w:rsidR="0048789B">
        <w:instrText xml:space="preserve"> REF _Ref215477797 \h </w:instrText>
      </w:r>
      <w:r w:rsidR="0048789B">
        <w:fldChar w:fldCharType="separate"/>
      </w:r>
      <w:r w:rsidR="00543B3D">
        <w:t>Figure </w:t>
      </w:r>
      <w:r w:rsidR="00543B3D">
        <w:rPr>
          <w:noProof/>
        </w:rPr>
        <w:t>5</w:t>
      </w:r>
      <w:r w:rsidR="00543B3D">
        <w:t>.</w:t>
      </w:r>
      <w:r w:rsidR="00543B3D">
        <w:rPr>
          <w:noProof/>
        </w:rPr>
        <w:t>4</w:t>
      </w:r>
      <w:r w:rsidR="0048789B">
        <w:fldChar w:fldCharType="end"/>
      </w:r>
      <w:r w:rsidR="0048789B">
        <w:t>)</w:t>
      </w:r>
      <w:r>
        <w:t xml:space="preserve">. This format can be effective in </w:t>
      </w:r>
      <w:r w:rsidRPr="000C5FEB">
        <w:t>enabling</w:t>
      </w:r>
      <w:r>
        <w:t xml:space="preserve"> feedback, as it allows for</w:t>
      </w:r>
      <w:r w:rsidRPr="000C5FEB">
        <w:t xml:space="preserve"> interactive exploration</w:t>
      </w:r>
      <w:r>
        <w:t xml:space="preserve"> of findings and information</w:t>
      </w:r>
      <w:r w:rsidR="00C21A07">
        <w:t>.</w:t>
      </w:r>
      <w:r w:rsidR="009A5493">
        <w:t xml:space="preserve"> </w:t>
      </w:r>
    </w:p>
    <w:p w:rsidRPr="0035271B" w:rsidR="00C21A07" w:rsidRDefault="00C21A07" w14:paraId="617F33FB" w14:textId="25D12F83">
      <w:pPr>
        <w:pStyle w:val="Caption"/>
        <w:rPr>
          <w:lang w:val="en-US"/>
        </w:rPr>
      </w:pPr>
      <w:bookmarkStart w:name="_Ref215477797" w:id="174"/>
      <w:bookmarkStart w:name="_Toc223413778" w:id="175"/>
      <w:r>
        <w:t>Figure </w:t>
      </w:r>
      <w:r>
        <w:rPr>
          <w:noProof/>
        </w:rPr>
        <w:fldChar w:fldCharType="begin"/>
      </w:r>
      <w:r>
        <w:rPr>
          <w:noProof/>
        </w:rPr>
        <w:instrText xml:space="preserve"> STYLEREF 1 \s </w:instrText>
      </w:r>
      <w:r>
        <w:rPr>
          <w:noProof/>
        </w:rPr>
        <w:fldChar w:fldCharType="separate"/>
      </w:r>
      <w:r w:rsidR="00543B3D">
        <w:rPr>
          <w:noProof/>
        </w:rPr>
        <w:t>5</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4</w:t>
      </w:r>
      <w:r>
        <w:rPr>
          <w:noProof/>
        </w:rPr>
        <w:fldChar w:fldCharType="end"/>
      </w:r>
      <w:bookmarkEnd w:id="174"/>
      <w:r>
        <w:t xml:space="preserve">. </w:t>
      </w:r>
      <w:r w:rsidRPr="0035271B" w:rsidR="0035271B">
        <w:rPr>
          <w:lang w:val="en-US"/>
        </w:rPr>
        <w:t>User satisfaction data publication, Serving Citiz</w:t>
      </w:r>
      <w:r w:rsidR="0035271B">
        <w:rPr>
          <w:lang w:val="en-US"/>
        </w:rPr>
        <w:t>ens 2024</w:t>
      </w:r>
      <w:bookmarkEnd w:id="175"/>
      <w:r w:rsidR="0035271B">
        <w:rPr>
          <w:lang w:val="en-US"/>
        </w:rPr>
        <w:t xml:space="preserve"> </w:t>
      </w:r>
    </w:p>
    <w:p w:rsidR="00C21A07" w:rsidRDefault="0035271B" w14:paraId="7F395F54" w14:textId="6FFF8A41">
      <w:pPr>
        <w:pStyle w:val="Figure"/>
        <w:rPr>
          <w:i/>
        </w:rPr>
      </w:pPr>
      <w:r>
        <w:rPr>
          <w:noProof/>
        </w:rPr>
        <w:drawing>
          <wp:inline distT="0" distB="0" distL="0" distR="0" wp14:anchorId="3967CE6F" wp14:editId="05F9E595">
            <wp:extent cx="5048250" cy="1511100"/>
            <wp:effectExtent l="0" t="0" r="0" b="0"/>
            <wp:docPr id="1084858275" name="Picture 17" descr="A blue rectangular object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58275" name="Picture 17" descr="A blue rectangular object with black lines&#10;&#10;AI-generated content may be incorrect."/>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059204" cy="1514379"/>
                    </a:xfrm>
                    <a:prstGeom prst="rect">
                      <a:avLst/>
                    </a:prstGeom>
                    <a:noFill/>
                    <a:ln>
                      <a:noFill/>
                    </a:ln>
                  </pic:spPr>
                </pic:pic>
              </a:graphicData>
            </a:graphic>
          </wp:inline>
        </w:drawing>
      </w:r>
    </w:p>
    <w:p w:rsidR="0035271B" w:rsidP="0035271B" w:rsidRDefault="0035271B" w14:paraId="02BF4AB2" w14:textId="7F7A0436">
      <w:pPr>
        <w:pStyle w:val="Sourcenotes"/>
      </w:pPr>
      <w:r w:rsidRPr="004802B4">
        <w:t xml:space="preserve">Source: </w:t>
      </w:r>
      <w:sdt>
        <w:sdtPr>
          <w:id w:val="1206219073"/>
          <w:citation/>
        </w:sdtPr>
        <w:sdtEndPr/>
        <w:sdtContent>
          <w:r w:rsidR="00CB189C">
            <w:fldChar w:fldCharType="begin"/>
          </w:r>
          <w:r w:rsidR="00CB189C">
            <w:instrText xml:space="preserve"> CITATION Mend_3D67lUxdTjmhmslx8w5nRg \l 2057 </w:instrText>
          </w:r>
          <w:r w:rsidR="00CB189C">
            <w:fldChar w:fldCharType="separate"/>
          </w:r>
          <w:r w:rsidRPr="00F86F21" w:rsidR="00F86F21">
            <w:rPr>
              <w:noProof/>
            </w:rPr>
            <w:t>(OECD, Forthcoming</w:t>
          </w:r>
          <w:r w:rsidRPr="00F86F21" w:rsidR="00F86F21">
            <w:rPr>
              <w:noProof/>
              <w:vertAlign w:val="subscript"/>
            </w:rPr>
            <w:t>[17]</w:t>
          </w:r>
          <w:r w:rsidRPr="00F86F21" w:rsidR="00F86F21">
            <w:rPr>
              <w:noProof/>
            </w:rPr>
            <w:t>)</w:t>
          </w:r>
          <w:r w:rsidR="00CB189C">
            <w:fldChar w:fldCharType="end"/>
          </w:r>
        </w:sdtContent>
      </w:sdt>
      <w:r w:rsidR="00CB189C">
        <w:t>.</w:t>
      </w:r>
    </w:p>
    <w:p w:rsidR="002043BF" w:rsidRDefault="002043BF" w14:paraId="5F14CCC0" w14:textId="115DCEB3">
      <w:pPr>
        <w:widowControl/>
        <w:spacing w:after="200" w:line="276" w:lineRule="auto"/>
        <w:jc w:val="left"/>
        <w:rPr>
          <w:rFonts w:asciiTheme="majorHAnsi" w:hAnsiTheme="majorHAnsi"/>
          <w:color w:val="000000" w:themeColor="text1"/>
          <w:sz w:val="18"/>
        </w:rPr>
      </w:pPr>
      <w:r>
        <w:br w:type="page"/>
      </w:r>
    </w:p>
    <w:p w:rsidR="00DB3BA9" w:rsidP="00DB3BA9" w:rsidRDefault="007E3B87" w14:paraId="61ABE966" w14:textId="602A7F15">
      <w:pPr>
        <w:pStyle w:val="Heading3"/>
      </w:pPr>
      <w:r>
        <w:t xml:space="preserve">Specific </w:t>
      </w:r>
      <w:r w:rsidR="00CB189C">
        <w:t>c</w:t>
      </w:r>
      <w:r w:rsidR="00DB3BA9">
        <w:t xml:space="preserve">ountry practices </w:t>
      </w: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DB3BA9" w14:paraId="6F8E8756"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DB3BA9" w:rsidRDefault="007E3B87" w14:paraId="23451C9B" w14:textId="27BE6F4D">
            <w:pPr>
              <w:pStyle w:val="Caption"/>
            </w:pPr>
            <w:bookmarkStart w:name="_Toc223413832" w:id="176"/>
            <w:r>
              <w:rPr>
                <w:noProof/>
              </w:rPr>
              <w:drawing>
                <wp:anchor distT="0" distB="0" distL="114300" distR="114300" simplePos="0" relativeHeight="251658287" behindDoc="1" locked="0" layoutInCell="1" allowOverlap="1" wp14:anchorId="12B76325" wp14:editId="4B50D8FF">
                  <wp:simplePos x="0" y="0"/>
                  <wp:positionH relativeFrom="column">
                    <wp:posOffset>4638040</wp:posOffset>
                  </wp:positionH>
                  <wp:positionV relativeFrom="paragraph">
                    <wp:posOffset>80010</wp:posOffset>
                  </wp:positionV>
                  <wp:extent cx="1009015" cy="641350"/>
                  <wp:effectExtent l="0" t="0" r="635" b="6350"/>
                  <wp:wrapTight wrapText="bothSides">
                    <wp:wrapPolygon edited="0">
                      <wp:start x="0" y="0"/>
                      <wp:lineTo x="0" y="21172"/>
                      <wp:lineTo x="21206" y="21172"/>
                      <wp:lineTo x="21206" y="0"/>
                      <wp:lineTo x="0" y="0"/>
                    </wp:wrapPolygon>
                  </wp:wrapTight>
                  <wp:docPr id="1671331676" name="Picture 1" descr="A blue and black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12193" name="Picture 1" descr="A blue and black flag&#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09015" cy="641350"/>
                          </a:xfrm>
                          <a:prstGeom prst="rect">
                            <a:avLst/>
                          </a:prstGeom>
                        </pic:spPr>
                      </pic:pic>
                    </a:graphicData>
                  </a:graphic>
                  <wp14:sizeRelH relativeFrom="margin">
                    <wp14:pctWidth>0</wp14:pctWidth>
                  </wp14:sizeRelH>
                  <wp14:sizeRelV relativeFrom="margin">
                    <wp14:pctHeight>0</wp14:pctHeight>
                  </wp14:sizeRelV>
                </wp:anchor>
              </w:drawing>
            </w:r>
            <w:r w:rsidRPr="00B44A50" w:rsidR="00DB3BA9">
              <w:t>Box</w:t>
            </w:r>
            <w:r w:rsidR="00DB3BA9">
              <w:t> </w:t>
            </w:r>
            <w:r w:rsidR="00DB3BA9">
              <w:rPr>
                <w:noProof/>
              </w:rPr>
              <w:fldChar w:fldCharType="begin"/>
            </w:r>
            <w:r w:rsidR="00DB3BA9">
              <w:rPr>
                <w:noProof/>
              </w:rPr>
              <w:instrText xml:space="preserve"> STYLEREF 1 \s </w:instrText>
            </w:r>
            <w:r w:rsidR="00DB3BA9">
              <w:rPr>
                <w:noProof/>
              </w:rPr>
              <w:fldChar w:fldCharType="separate"/>
            </w:r>
            <w:r w:rsidR="00543B3D">
              <w:rPr>
                <w:noProof/>
              </w:rPr>
              <w:t>5</w:t>
            </w:r>
            <w:r w:rsidR="00DB3BA9">
              <w:rPr>
                <w:noProof/>
              </w:rPr>
              <w:fldChar w:fldCharType="end"/>
            </w:r>
            <w:r w:rsidR="00DB3BA9">
              <w:t>.</w:t>
            </w:r>
            <w:r w:rsidR="00DB3BA9">
              <w:rPr>
                <w:noProof/>
              </w:rPr>
              <w:fldChar w:fldCharType="begin"/>
            </w:r>
            <w:r w:rsidR="00DB3BA9">
              <w:rPr>
                <w:noProof/>
              </w:rPr>
              <w:instrText xml:space="preserve"> SEQ Box \* ARABIC \s 1 </w:instrText>
            </w:r>
            <w:r w:rsidR="00DB3BA9">
              <w:rPr>
                <w:noProof/>
              </w:rPr>
              <w:fldChar w:fldCharType="separate"/>
            </w:r>
            <w:r w:rsidR="00543B3D">
              <w:rPr>
                <w:noProof/>
              </w:rPr>
              <w:t>1</w:t>
            </w:r>
            <w:r w:rsidR="00DB3BA9">
              <w:rPr>
                <w:noProof/>
              </w:rPr>
              <w:fldChar w:fldCharType="end"/>
            </w:r>
            <w:r w:rsidR="00DB3BA9">
              <w:t>. Estonia</w:t>
            </w:r>
            <w:r w:rsidR="00A40062">
              <w:t xml:space="preserve"> – Comprehensive approach to user satisfaction measurement</w:t>
            </w:r>
            <w:bookmarkEnd w:id="176"/>
          </w:p>
          <w:p w:rsidR="00DB3BA9" w:rsidRDefault="00DB3BA9" w14:paraId="0C634627" w14:textId="77777777">
            <w:pPr>
              <w:pStyle w:val="Para0"/>
              <w:rPr>
                <w:lang w:val="en-US"/>
              </w:rPr>
            </w:pPr>
            <w:r w:rsidRPr="0087683F">
              <w:t xml:space="preserve">User satisfaction in </w:t>
            </w:r>
            <w:r w:rsidRPr="00832509">
              <w:rPr>
                <w:b/>
                <w:bCs/>
              </w:rPr>
              <w:t>Estonia</w:t>
            </w:r>
            <w:r w:rsidRPr="0087683F">
              <w:t xml:space="preserve"> is measured through short post-interaction surveys, with the Net Promoter Score adapted for public services as the preferred methodology. Surveys must include at least one open question, enabling institutions to capture the “why” behind ratings. Results are reported as a numeric score, while the central co-ordinator later converts all methodologies into a percentage scale to track progress toward the Digital Society Development Plan 2030. The </w:t>
            </w:r>
            <w:r w:rsidRPr="0087683F">
              <w:rPr>
                <w:i/>
                <w:iCs/>
              </w:rPr>
              <w:t>Guidelines for the calculation and central listing of quality indicators for direct public services</w:t>
            </w:r>
            <w:r w:rsidRPr="0087683F">
              <w:t> also account for edge cases: if fewer than 100 users access a service in a given year, a qualitative study supplemented by a numeric rating is recommended; where surveys are run biennially, institutions report results only in the measured year, with explanatory notes. This flexibility ensures methodological rigour without overburdening small-scale services or users.</w:t>
            </w:r>
            <w:r w:rsidRPr="0087683F">
              <w:rPr>
                <w:lang w:val="en-US"/>
              </w:rPr>
              <w:t> </w:t>
            </w:r>
          </w:p>
          <w:p w:rsidRPr="00F81C66" w:rsidR="00F81C66" w:rsidP="00F81C66" w:rsidRDefault="004D196B" w14:paraId="771D521F" w14:textId="77777777">
            <w:pPr>
              <w:pStyle w:val="Para0"/>
            </w:pPr>
            <w:r>
              <w:rPr>
                <w:lang w:val="en-US"/>
              </w:rPr>
              <w:t xml:space="preserve">The integration of direct </w:t>
            </w:r>
            <w:r w:rsidR="00225080">
              <w:rPr>
                <w:lang w:val="en-US"/>
              </w:rPr>
              <w:t xml:space="preserve">feedback loops for users is observed through the </w:t>
            </w:r>
            <w:r w:rsidR="009A4AFC">
              <w:rPr>
                <w:lang w:val="en-US"/>
              </w:rPr>
              <w:t xml:space="preserve">eest.ee website. </w:t>
            </w:r>
            <w:r w:rsidRPr="00F81C66" w:rsidR="00F81C66">
              <w:t xml:space="preserve">Each webpage presenting public services associated with a Life Event includes a direct feedback loop for users where they are requested to rate their satisfaction with the service on a scale of 1 – 5. Based on their rating, the user is requested to provide open text clarification to indicated what affected their rating. The use of direct feedback loops enables the public services owners in Estonia to monitor the user satisfaction with these services. </w:t>
            </w:r>
          </w:p>
          <w:p w:rsidRPr="00F81C66" w:rsidR="00F81C66" w:rsidP="00F81C66" w:rsidRDefault="00F81C66" w14:paraId="3AE45FBB" w14:textId="6B683563">
            <w:pPr>
              <w:pStyle w:val="Para0"/>
              <w:jc w:val="center"/>
            </w:pPr>
            <w:r w:rsidRPr="00F81C66">
              <w:rPr>
                <w:noProof/>
              </w:rPr>
              <w:drawing>
                <wp:inline distT="0" distB="0" distL="0" distR="0" wp14:anchorId="57371494" wp14:editId="6E066266">
                  <wp:extent cx="3248025" cy="2257425"/>
                  <wp:effectExtent l="0" t="0" r="9525" b="9525"/>
                  <wp:docPr id="308769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248025" cy="2257425"/>
                          </a:xfrm>
                          <a:prstGeom prst="rect">
                            <a:avLst/>
                          </a:prstGeom>
                          <a:noFill/>
                          <a:ln>
                            <a:noFill/>
                          </a:ln>
                        </pic:spPr>
                      </pic:pic>
                    </a:graphicData>
                  </a:graphic>
                </wp:inline>
              </w:drawing>
            </w:r>
          </w:p>
          <w:p w:rsidRPr="00775FF9" w:rsidR="00DB3BA9" w:rsidRDefault="00DB3BA9" w14:paraId="5786F5BF" w14:textId="0872B657">
            <w:pPr>
              <w:pStyle w:val="Sourcenotes"/>
            </w:pPr>
            <w:r>
              <w:t xml:space="preserve">Source: </w:t>
            </w:r>
            <w:r w:rsidR="002C3873">
              <w:t>Data gathered through TSI Country Mission to Estonia, October 2025</w:t>
            </w:r>
            <w:r w:rsidR="00EB1400">
              <w:t>.</w:t>
            </w:r>
          </w:p>
        </w:tc>
      </w:tr>
    </w:tbl>
    <w:p w:rsidR="00DB3BA9" w:rsidP="00DB3BA9" w:rsidRDefault="00DB3BA9" w14:paraId="265E18AB" w14:textId="77777777">
      <w:pPr>
        <w:pStyle w:val="Para0"/>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6B4089" w14:paraId="2314EF5A"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Pr="001612DA" w:rsidR="006B4089" w:rsidRDefault="006B4089" w14:paraId="54CB07BF" w14:textId="2B9CE24D">
            <w:pPr>
              <w:pStyle w:val="Caption"/>
            </w:pPr>
            <w:bookmarkStart w:name="_Toc223413833" w:id="177"/>
            <w:r>
              <w:rPr>
                <w:noProof/>
              </w:rPr>
              <w:drawing>
                <wp:anchor distT="0" distB="0" distL="114300" distR="114300" simplePos="0" relativeHeight="251658305" behindDoc="1" locked="0" layoutInCell="1" allowOverlap="1" wp14:anchorId="752F20D7" wp14:editId="5BD55346">
                  <wp:simplePos x="0" y="0"/>
                  <wp:positionH relativeFrom="column">
                    <wp:posOffset>4685079</wp:posOffset>
                  </wp:positionH>
                  <wp:positionV relativeFrom="paragraph">
                    <wp:posOffset>100281</wp:posOffset>
                  </wp:positionV>
                  <wp:extent cx="974725" cy="488315"/>
                  <wp:effectExtent l="0" t="0" r="0" b="6985"/>
                  <wp:wrapTight wrapText="bothSides">
                    <wp:wrapPolygon edited="0">
                      <wp:start x="0" y="0"/>
                      <wp:lineTo x="0" y="21066"/>
                      <wp:lineTo x="21107" y="21066"/>
                      <wp:lineTo x="21107" y="0"/>
                      <wp:lineTo x="0" y="0"/>
                    </wp:wrapPolygon>
                  </wp:wrapTight>
                  <wp:docPr id="1318494327" name="Picture 2" descr="A red and white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494327" name="Picture 2" descr="A red and white flag&#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74725" cy="488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4A50">
              <w:t>Box</w:t>
            </w:r>
            <w:r>
              <w:t> </w:t>
            </w:r>
            <w:r>
              <w:rPr>
                <w:noProof/>
              </w:rPr>
              <w:fldChar w:fldCharType="begin"/>
            </w:r>
            <w:r>
              <w:rPr>
                <w:noProof/>
              </w:rPr>
              <w:instrText xml:space="preserve"> STYLEREF 1 \s </w:instrText>
            </w:r>
            <w:r>
              <w:rPr>
                <w:noProof/>
              </w:rPr>
              <w:fldChar w:fldCharType="separate"/>
            </w:r>
            <w:r w:rsidR="00543B3D">
              <w:rPr>
                <w:noProof/>
              </w:rPr>
              <w:t>5</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2</w:t>
            </w:r>
            <w:r>
              <w:rPr>
                <w:noProof/>
              </w:rPr>
              <w:fldChar w:fldCharType="end"/>
            </w:r>
            <w:r>
              <w:t xml:space="preserve">. </w:t>
            </w:r>
            <w:r w:rsidRPr="001612DA">
              <w:rPr>
                <w:bCs/>
              </w:rPr>
              <w:t>Latvia</w:t>
            </w:r>
            <w:r w:rsidR="00A40062">
              <w:rPr>
                <w:bCs/>
              </w:rPr>
              <w:t xml:space="preserve"> - E</w:t>
            </w:r>
            <w:r w:rsidRPr="001612DA">
              <w:rPr>
                <w:bCs/>
              </w:rPr>
              <w:t>mbedding citizen satisfaction with services indicators into a high-level national plan</w:t>
            </w:r>
            <w:bookmarkEnd w:id="177"/>
            <w:r>
              <w:rPr>
                <w:bCs/>
              </w:rPr>
              <w:t xml:space="preserve"> </w:t>
            </w:r>
          </w:p>
          <w:p w:rsidR="006B4089" w:rsidRDefault="006B4089" w14:paraId="0BF50F8B" w14:textId="77777777">
            <w:pPr>
              <w:pStyle w:val="Para0"/>
            </w:pPr>
            <w:r w:rsidRPr="001612DA">
              <w:t>In its highest medium-term plan – the </w:t>
            </w:r>
            <w:r w:rsidRPr="00407C17">
              <w:rPr>
                <w:i/>
              </w:rPr>
              <w:t>National Development Plan 2021-2027</w:t>
            </w:r>
            <w:r w:rsidRPr="001612DA">
              <w:t> </w:t>
            </w:r>
            <w:r>
              <w:t>– (NDP)</w:t>
            </w:r>
            <w:r w:rsidRPr="001612DA">
              <w:t xml:space="preserve">, </w:t>
            </w:r>
            <w:r w:rsidRPr="00832509">
              <w:rPr>
                <w:b/>
                <w:bCs/>
              </w:rPr>
              <w:t>Latvia</w:t>
            </w:r>
            <w:r w:rsidRPr="001612DA">
              <w:t xml:space="preserve"> has established indicators and targets for citizen satisfaction with public services. These include general metrics, such as “awareness, experience and satisfaction with received public services”, and more specific ones pertaining to key sectors like healthcare.</w:t>
            </w:r>
            <w:r>
              <w:t xml:space="preserve"> </w:t>
            </w:r>
          </w:p>
          <w:p w:rsidRPr="00E8440B" w:rsidR="006B4089" w:rsidRDefault="006B4089" w14:paraId="53620337" w14:textId="77777777">
            <w:pPr>
              <w:pStyle w:val="Para0"/>
            </w:pPr>
            <w:r>
              <w:t xml:space="preserve">The selection of satisfaction indicators is monitored on a general basis, with an interim report presenting the progress made. The State Chancellery, Latvia’s centre of government, is responsible for summarising service performance data and citizen satisfaction with them from different government entities. For example, the most recent progress report of the NDP, published in 2024, presented survey results of citizen satisfaction with 10 public services. </w:t>
            </w:r>
          </w:p>
          <w:p w:rsidRPr="00775FF9" w:rsidR="006B4089" w:rsidRDefault="006B4089" w14:paraId="722225E6" w14:textId="4FD52249">
            <w:pPr>
              <w:pStyle w:val="Sourcenotes"/>
            </w:pPr>
            <w:r>
              <w:t xml:space="preserve">Source: </w:t>
            </w:r>
            <w:sdt>
              <w:sdtPr>
                <w:id w:val="-759360095"/>
                <w:citation/>
              </w:sdtPr>
              <w:sdtEndPr/>
              <w:sdtContent>
                <w:r>
                  <w:fldChar w:fldCharType="begin"/>
                </w:r>
                <w:r>
                  <w:instrText xml:space="preserve"> CITATION Mend_tRE13M6F1j__92E_yLDgFiw \l 2057 </w:instrText>
                </w:r>
                <w:r>
                  <w:fldChar w:fldCharType="separate"/>
                </w:r>
                <w:r w:rsidRPr="00F86F21" w:rsidR="00F86F21">
                  <w:rPr>
                    <w:noProof/>
                  </w:rPr>
                  <w:t>(</w:t>
                </w:r>
                <w:bookmarkStart w:name="Mend_tRE13M6F1j__92E_yLDgFiw_26" w:id="178"/>
                <w:r w:rsidRPr="00F86F21" w:rsidR="00F86F21">
                  <w:rPr>
                    <w:noProof/>
                  </w:rPr>
                  <w:t>Cabinet of Ministers, 2024</w:t>
                </w:r>
                <w:r w:rsidRPr="00F86F21" w:rsidR="00F86F21">
                  <w:rPr>
                    <w:noProof/>
                    <w:vertAlign w:val="subscript"/>
                  </w:rPr>
                  <w:t>[26]</w:t>
                </w:r>
                <w:r w:rsidRPr="00F86F21" w:rsidR="00F86F21">
                  <w:rPr>
                    <w:noProof/>
                  </w:rPr>
                  <w:t>)</w:t>
                </w:r>
                <w:bookmarkEnd w:id="178"/>
                <w:r>
                  <w:fldChar w:fldCharType="end"/>
                </w:r>
              </w:sdtContent>
            </w:sdt>
            <w:r>
              <w:t>.</w:t>
            </w:r>
          </w:p>
        </w:tc>
      </w:tr>
    </w:tbl>
    <w:p w:rsidR="00732074" w:rsidP="0048789B" w:rsidRDefault="00732074" w14:paraId="0C5234CD" w14:textId="77777777">
      <w:pPr>
        <w:pStyle w:val="Heading2"/>
      </w:pPr>
      <w:bookmarkStart w:name="_Toc223413744" w:id="179"/>
      <w:r>
        <w:t>Other user consultation and feedback mechanisms</w:t>
      </w:r>
      <w:bookmarkEnd w:id="179"/>
    </w:p>
    <w:p w:rsidR="00732074" w:rsidP="00732074" w:rsidRDefault="00732074" w14:paraId="48C04B27" w14:textId="58C86750">
      <w:pPr>
        <w:pStyle w:val="Para"/>
        <w:numPr>
          <w:ilvl w:val="0"/>
          <w:numId w:val="0"/>
        </w:numPr>
      </w:pPr>
      <w:r w:rsidRPr="00832509">
        <w:rPr>
          <w:b/>
          <w:bCs/>
        </w:rPr>
        <w:t>While user experience surveys offer helpful evidence, they only allow the small group of citizens who are contacted to complete them the opportunity to provide feedback on public administrative services.</w:t>
      </w:r>
      <w:r>
        <w:t xml:space="preserve"> To complement them, governments can use other sources of feedback, such as complaints and user interviews. Countries can also set up user panels that will provide their experiences and </w:t>
      </w:r>
      <w:r w:rsidR="00AE769D">
        <w:t>feedback</w:t>
      </w:r>
      <w:r>
        <w:t xml:space="preserve"> on specific life events along the cycle. These sources of information</w:t>
      </w:r>
      <w:r w:rsidRPr="00565F51">
        <w:t xml:space="preserve"> can assist governments in identifying priority areas for improvement</w:t>
      </w:r>
      <w:r>
        <w:t xml:space="preserve"> and help explore possible solutions</w:t>
      </w:r>
      <w:r w:rsidRPr="00565F51">
        <w:t>.</w:t>
      </w:r>
      <w:r>
        <w:t xml:space="preserve"> Nine out of 10 countries have set up agency portals to collect complaints or feedback</w:t>
      </w:r>
      <w:r w:rsidR="00CC49BD">
        <w:t xml:space="preserve"> (</w:t>
      </w:r>
      <w:r w:rsidR="00CC49BD">
        <w:fldChar w:fldCharType="begin"/>
      </w:r>
      <w:r w:rsidR="00CC49BD">
        <w:instrText xml:space="preserve"> REF _Ref215477863 \h </w:instrText>
      </w:r>
      <w:r w:rsidR="00CC49BD">
        <w:fldChar w:fldCharType="separate"/>
      </w:r>
      <w:r w:rsidR="00543B3D">
        <w:t>Figure </w:t>
      </w:r>
      <w:r w:rsidR="00543B3D">
        <w:rPr>
          <w:noProof/>
        </w:rPr>
        <w:t>5</w:t>
      </w:r>
      <w:r w:rsidR="00543B3D">
        <w:t>.</w:t>
      </w:r>
      <w:r w:rsidR="00543B3D">
        <w:rPr>
          <w:noProof/>
        </w:rPr>
        <w:t>5</w:t>
      </w:r>
      <w:r w:rsidR="00CC49BD">
        <w:fldChar w:fldCharType="end"/>
      </w:r>
      <w:r w:rsidR="00CC49BD">
        <w:t>)</w:t>
      </w:r>
      <w:r>
        <w:t xml:space="preserve">. These portals can provide valuable insights for policymakers. </w:t>
      </w:r>
      <w:r w:rsidRPr="00436A7C">
        <w:t>However, relying primarily on agency-level portals is likely to leave gaps in coverage, with no feedback channel available for some</w:t>
      </w:r>
      <w:r>
        <w:t xml:space="preserve"> public administrative services. Lithuania, Estonia, and Spain also have national portals in place, which are less prone to leave these gaps. However, o</w:t>
      </w:r>
      <w:r w:rsidRPr="0034176C">
        <w:t xml:space="preserve">nce feedback portals are in place, it is important to also actively promote their availability to ensure that </w:t>
      </w:r>
      <w:r>
        <w:t>users</w:t>
      </w:r>
      <w:r w:rsidRPr="0034176C">
        <w:t xml:space="preserve"> are aware of these channels and understand how to access them.</w:t>
      </w:r>
    </w:p>
    <w:p w:rsidR="00CC49BD" w:rsidRDefault="00CC49BD" w14:paraId="06530403" w14:textId="6BC92D4A">
      <w:pPr>
        <w:pStyle w:val="Caption"/>
      </w:pPr>
      <w:bookmarkStart w:name="_Ref215477863" w:id="180"/>
      <w:bookmarkStart w:name="_Toc223413779" w:id="181"/>
      <w:r>
        <w:t>Figure </w:t>
      </w:r>
      <w:r>
        <w:rPr>
          <w:noProof/>
        </w:rPr>
        <w:fldChar w:fldCharType="begin"/>
      </w:r>
      <w:r>
        <w:rPr>
          <w:noProof/>
        </w:rPr>
        <w:instrText xml:space="preserve"> STYLEREF 1 \s </w:instrText>
      </w:r>
      <w:r>
        <w:rPr>
          <w:noProof/>
        </w:rPr>
        <w:fldChar w:fldCharType="separate"/>
      </w:r>
      <w:r w:rsidR="00543B3D">
        <w:rPr>
          <w:noProof/>
        </w:rPr>
        <w:t>5</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5</w:t>
      </w:r>
      <w:r>
        <w:rPr>
          <w:noProof/>
        </w:rPr>
        <w:fldChar w:fldCharType="end"/>
      </w:r>
      <w:bookmarkEnd w:id="180"/>
      <w:r>
        <w:t>. Availability of complaints/feedback mechanism, Serving Citizens 2024</w:t>
      </w:r>
      <w:bookmarkEnd w:id="181"/>
      <w:r>
        <w:t xml:space="preserve"> </w:t>
      </w:r>
    </w:p>
    <w:p w:rsidR="00CC49BD" w:rsidRDefault="00CC49BD" w14:paraId="2119AE0E" w14:textId="1CB4415C">
      <w:pPr>
        <w:pStyle w:val="Figure"/>
        <w:rPr>
          <w:i/>
        </w:rPr>
      </w:pPr>
      <w:r>
        <w:rPr>
          <w:noProof/>
        </w:rPr>
        <w:drawing>
          <wp:inline distT="0" distB="0" distL="0" distR="0" wp14:anchorId="4A3C1673" wp14:editId="30EFF829">
            <wp:extent cx="4450432" cy="2222817"/>
            <wp:effectExtent l="0" t="0" r="7620" b="6350"/>
            <wp:docPr id="1041083292" name="Picture 9" descr="A blue rectangular object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083292" name="Picture 9" descr="A blue rectangular object with white text&#10;&#10;AI-generated content may be incorrect."/>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490040" cy="2242600"/>
                    </a:xfrm>
                    <a:prstGeom prst="rect">
                      <a:avLst/>
                    </a:prstGeom>
                    <a:noFill/>
                    <a:ln>
                      <a:noFill/>
                    </a:ln>
                  </pic:spPr>
                </pic:pic>
              </a:graphicData>
            </a:graphic>
          </wp:inline>
        </w:drawing>
      </w:r>
    </w:p>
    <w:p w:rsidR="00732074" w:rsidP="00732074" w:rsidRDefault="00CC49BD" w14:paraId="7D2A8177" w14:textId="30B79457">
      <w:pPr>
        <w:pStyle w:val="Sourcenotes"/>
      </w:pPr>
      <w:r w:rsidRPr="004802B4">
        <w:t xml:space="preserve">Source: </w:t>
      </w:r>
      <w:sdt>
        <w:sdtPr>
          <w:id w:val="-1045759763"/>
          <w:citation/>
        </w:sdtPr>
        <w:sdtEndPr/>
        <w:sdtContent>
          <w:r w:rsidR="00CB189C">
            <w:fldChar w:fldCharType="begin"/>
          </w:r>
          <w:r w:rsidR="00CB189C">
            <w:instrText xml:space="preserve"> CITATION Mend_3D67lUxdTjmhmslx8w5nRg \l 2057 </w:instrText>
          </w:r>
          <w:r w:rsidR="00CB189C">
            <w:fldChar w:fldCharType="separate"/>
          </w:r>
          <w:r w:rsidRPr="00F86F21" w:rsidR="00F86F21">
            <w:rPr>
              <w:noProof/>
            </w:rPr>
            <w:t>(OECD, Forthcoming</w:t>
          </w:r>
          <w:r w:rsidRPr="00F86F21" w:rsidR="00F86F21">
            <w:rPr>
              <w:noProof/>
              <w:vertAlign w:val="subscript"/>
            </w:rPr>
            <w:t>[17]</w:t>
          </w:r>
          <w:r w:rsidRPr="00F86F21" w:rsidR="00F86F21">
            <w:rPr>
              <w:noProof/>
            </w:rPr>
            <w:t>)</w:t>
          </w:r>
          <w:r w:rsidR="00CB189C">
            <w:fldChar w:fldCharType="end"/>
          </w:r>
        </w:sdtContent>
      </w:sdt>
      <w:r w:rsidR="00CB189C">
        <w:t>.</w:t>
      </w:r>
    </w:p>
    <w:p w:rsidRPr="00401E31" w:rsidR="00732074" w:rsidP="0048789B" w:rsidRDefault="004C6C46" w14:paraId="62B5B308" w14:textId="04651A1B">
      <w:pPr>
        <w:pStyle w:val="Heading2"/>
      </w:pPr>
      <w:bookmarkStart w:name="_Toc223413745" w:id="182"/>
      <w:r>
        <w:t>Definition of p</w:t>
      </w:r>
      <w:r w:rsidRPr="00401E31" w:rsidR="00732074">
        <w:t>erformance targets</w:t>
      </w:r>
      <w:r>
        <w:t xml:space="preserve"> and key data to measure inputs, outputs and outcomes</w:t>
      </w:r>
      <w:bookmarkEnd w:id="182"/>
    </w:p>
    <w:p w:rsidR="00732074" w:rsidP="00732074" w:rsidRDefault="00732074" w14:paraId="3940C806" w14:textId="47BB3FB1">
      <w:pPr>
        <w:pStyle w:val="Para"/>
        <w:numPr>
          <w:ilvl w:val="0"/>
          <w:numId w:val="0"/>
        </w:numPr>
      </w:pPr>
      <w:r w:rsidRPr="00832509">
        <w:rPr>
          <w:b/>
          <w:bCs/>
        </w:rPr>
        <w:t>To complement user experience information, the OECD also recommends that governments set service delivery standards.</w:t>
      </w:r>
      <w:r>
        <w:t xml:space="preserve"> </w:t>
      </w:r>
      <w:r w:rsidRPr="00962DDC">
        <w:t>Performance targets are measurable, observable goals for service delivery, such as targets for waiting times. Targets can help public administrations to gauge whether improvements are taking place and to examine the efficiency and responsiveness of service delivery. Information on performance against targets is commonly collected by using administrative data from public sector agencies. In addition, delivery targets are a mechanism for evaluating the efficiency and effectiveness of public services and promote the country’s transparency.</w:t>
      </w:r>
      <w:r w:rsidR="00CD43D2">
        <w:t xml:space="preserve"> </w:t>
      </w:r>
      <w:r>
        <w:t xml:space="preserve">Among the EU10 countries, </w:t>
      </w:r>
      <w:r w:rsidR="006658BC">
        <w:t>eight</w:t>
      </w:r>
      <w:r>
        <w:t xml:space="preserve"> out of </w:t>
      </w:r>
      <w:r w:rsidR="006658BC">
        <w:t>ten</w:t>
      </w:r>
      <w:r>
        <w:t xml:space="preserve"> countries have service delivery targets</w:t>
      </w:r>
      <w:r w:rsidR="006658BC">
        <w:t xml:space="preserve"> (</w:t>
      </w:r>
      <w:r w:rsidR="006658BC">
        <w:fldChar w:fldCharType="begin"/>
      </w:r>
      <w:r w:rsidR="006658BC">
        <w:instrText xml:space="preserve"> REF _Ref215478017 \h </w:instrText>
      </w:r>
      <w:r w:rsidR="006658BC">
        <w:fldChar w:fldCharType="separate"/>
      </w:r>
      <w:r w:rsidR="00543B3D">
        <w:rPr>
          <w:b/>
          <w:bCs/>
          <w:lang w:val="en-US"/>
        </w:rPr>
        <w:t>Error! Reference source not found.</w:t>
      </w:r>
      <w:r w:rsidR="006658BC">
        <w:fldChar w:fldCharType="end"/>
      </w:r>
      <w:r w:rsidR="006658BC">
        <w:t>)</w:t>
      </w:r>
      <w:r>
        <w:t>.</w:t>
      </w:r>
    </w:p>
    <w:p w:rsidR="006B4089" w:rsidP="006B4089" w:rsidRDefault="006B4089" w14:paraId="35ACFD4B" w14:textId="781CFBA8">
      <w:pPr>
        <w:pStyle w:val="Caption"/>
      </w:pPr>
      <w:bookmarkStart w:name="_Toc223413780" w:id="183"/>
      <w:r>
        <w:t>Figure </w:t>
      </w:r>
      <w:r>
        <w:rPr>
          <w:noProof/>
        </w:rPr>
        <w:fldChar w:fldCharType="begin"/>
      </w:r>
      <w:r>
        <w:rPr>
          <w:noProof/>
        </w:rPr>
        <w:instrText xml:space="preserve"> STYLEREF 1 \s </w:instrText>
      </w:r>
      <w:r>
        <w:rPr>
          <w:noProof/>
        </w:rPr>
        <w:fldChar w:fldCharType="separate"/>
      </w:r>
      <w:r w:rsidR="00543B3D">
        <w:rPr>
          <w:noProof/>
        </w:rPr>
        <w:t>5</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6</w:t>
      </w:r>
      <w:r>
        <w:rPr>
          <w:noProof/>
        </w:rPr>
        <w:fldChar w:fldCharType="end"/>
      </w:r>
      <w:r>
        <w:t>. Existence of Service Delivery Targets, Serving Citizens 2024</w:t>
      </w:r>
      <w:bookmarkEnd w:id="183"/>
      <w:r>
        <w:t xml:space="preserve"> </w:t>
      </w:r>
    </w:p>
    <w:p w:rsidR="006658BC" w:rsidRDefault="006658BC" w14:paraId="6171D479" w14:textId="617ECB04">
      <w:pPr>
        <w:pStyle w:val="Figure"/>
        <w:rPr>
          <w:i/>
        </w:rPr>
      </w:pPr>
      <w:r>
        <w:rPr>
          <w:noProof/>
        </w:rPr>
        <w:drawing>
          <wp:inline distT="0" distB="0" distL="0" distR="0" wp14:anchorId="583F4FAA" wp14:editId="4533C481">
            <wp:extent cx="4899704" cy="2203123"/>
            <wp:effectExtent l="0" t="0" r="0" b="6985"/>
            <wp:docPr id="1817758936" name="Picture 11"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58936" name="Picture 11" descr="A blue circle with white text&#10;&#10;AI-generated content may be incorrect."/>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b="9974"/>
                    <a:stretch>
                      <a:fillRect/>
                    </a:stretch>
                  </pic:blipFill>
                  <pic:spPr bwMode="auto">
                    <a:xfrm>
                      <a:off x="0" y="0"/>
                      <a:ext cx="4925686" cy="2214806"/>
                    </a:xfrm>
                    <a:prstGeom prst="rect">
                      <a:avLst/>
                    </a:prstGeom>
                    <a:noFill/>
                    <a:ln>
                      <a:noFill/>
                    </a:ln>
                    <a:extLst>
                      <a:ext uri="{53640926-AAD7-44D8-BBD7-CCE9431645EC}">
                        <a14:shadowObscured xmlns:a14="http://schemas.microsoft.com/office/drawing/2010/main"/>
                      </a:ext>
                    </a:extLst>
                  </pic:spPr>
                </pic:pic>
              </a:graphicData>
            </a:graphic>
          </wp:inline>
        </w:drawing>
      </w:r>
    </w:p>
    <w:p w:rsidR="006658BC" w:rsidP="006658BC" w:rsidRDefault="00732074" w14:paraId="4B6D6C2B" w14:textId="4EFF131E">
      <w:pPr>
        <w:pStyle w:val="Sourcenotes"/>
      </w:pPr>
      <w:r w:rsidRPr="004802B4">
        <w:t xml:space="preserve">Source: </w:t>
      </w:r>
      <w:sdt>
        <w:sdtPr>
          <w:id w:val="2022052133"/>
          <w:citation/>
        </w:sdtPr>
        <w:sdtEndPr/>
        <w:sdtContent>
          <w:r w:rsidR="00CB189C">
            <w:fldChar w:fldCharType="begin"/>
          </w:r>
          <w:r w:rsidR="00CB189C">
            <w:instrText xml:space="preserve"> CITATION Mend_3D67lUxdTjmhmslx8w5nRg \l 2057 </w:instrText>
          </w:r>
          <w:r w:rsidR="00CB189C">
            <w:fldChar w:fldCharType="separate"/>
          </w:r>
          <w:r w:rsidRPr="00F86F21" w:rsidR="00F86F21">
            <w:rPr>
              <w:noProof/>
            </w:rPr>
            <w:t>(OECD, Forthcoming</w:t>
          </w:r>
          <w:r w:rsidRPr="00F86F21" w:rsidR="00F86F21">
            <w:rPr>
              <w:noProof/>
              <w:vertAlign w:val="subscript"/>
            </w:rPr>
            <w:t>[17]</w:t>
          </w:r>
          <w:r w:rsidRPr="00F86F21" w:rsidR="00F86F21">
            <w:rPr>
              <w:noProof/>
            </w:rPr>
            <w:t>)</w:t>
          </w:r>
          <w:r w:rsidR="00CB189C">
            <w:fldChar w:fldCharType="end"/>
          </w:r>
        </w:sdtContent>
      </w:sdt>
      <w:r w:rsidR="00CB189C">
        <w:t>.</w:t>
      </w:r>
    </w:p>
    <w:p w:rsidR="00732074" w:rsidP="00732074" w:rsidRDefault="00732074" w14:paraId="577E6F3E" w14:textId="5548910D">
      <w:pPr>
        <w:pStyle w:val="Para"/>
        <w:numPr>
          <w:ilvl w:val="0"/>
          <w:numId w:val="0"/>
        </w:numPr>
      </w:pPr>
      <w:r w:rsidRPr="00832509">
        <w:rPr>
          <w:b/>
          <w:bCs/>
        </w:rPr>
        <w:t xml:space="preserve">The departments that deliver administrative services are commonly also in charge of setting their targets. </w:t>
      </w:r>
      <w:r>
        <w:t xml:space="preserve">This is the case in </w:t>
      </w:r>
      <w:r w:rsidR="006658BC">
        <w:t>five</w:t>
      </w:r>
      <w:r>
        <w:t xml:space="preserve"> of the EU10 countries: Lithuania, Ireland, Greece, Finland, and Spain. In Ireland, the Ministry of Finance and Ministry of Public Administration jointly set the targets. In Estonia, the Digital Government Ministry is in charge of setting targets</w:t>
      </w:r>
      <w:r w:rsidR="006658BC">
        <w:t xml:space="preserve"> (</w:t>
      </w:r>
      <w:r w:rsidR="006658BC">
        <w:fldChar w:fldCharType="begin"/>
      </w:r>
      <w:r w:rsidR="006658BC">
        <w:instrText xml:space="preserve"> REF _Ref215478103 \h </w:instrText>
      </w:r>
      <w:r w:rsidR="006658BC">
        <w:fldChar w:fldCharType="separate"/>
      </w:r>
      <w:r w:rsidR="00543B3D">
        <w:t>Figure </w:t>
      </w:r>
      <w:r w:rsidR="00543B3D">
        <w:rPr>
          <w:noProof/>
        </w:rPr>
        <w:t>5</w:t>
      </w:r>
      <w:r w:rsidR="00543B3D">
        <w:t>.</w:t>
      </w:r>
      <w:r w:rsidR="00543B3D">
        <w:rPr>
          <w:noProof/>
        </w:rPr>
        <w:t>7</w:t>
      </w:r>
      <w:r w:rsidR="006658BC">
        <w:fldChar w:fldCharType="end"/>
      </w:r>
      <w:r w:rsidR="006658BC">
        <w:t>)</w:t>
      </w:r>
      <w:r>
        <w:t xml:space="preserve">. </w:t>
      </w:r>
    </w:p>
    <w:p w:rsidR="006658BC" w:rsidRDefault="006658BC" w14:paraId="30C0BC52" w14:textId="38DA2244">
      <w:pPr>
        <w:pStyle w:val="Caption"/>
      </w:pPr>
      <w:bookmarkStart w:name="_Ref215478103" w:id="184"/>
      <w:bookmarkStart w:name="_Toc223413781" w:id="185"/>
      <w:r>
        <w:t>Figure </w:t>
      </w:r>
      <w:r>
        <w:rPr>
          <w:noProof/>
        </w:rPr>
        <w:fldChar w:fldCharType="begin"/>
      </w:r>
      <w:r>
        <w:rPr>
          <w:noProof/>
        </w:rPr>
        <w:instrText xml:space="preserve"> STYLEREF 1 \s </w:instrText>
      </w:r>
      <w:r>
        <w:rPr>
          <w:noProof/>
        </w:rPr>
        <w:fldChar w:fldCharType="separate"/>
      </w:r>
      <w:r w:rsidR="00543B3D">
        <w:rPr>
          <w:noProof/>
        </w:rPr>
        <w:t>5</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7</w:t>
      </w:r>
      <w:r>
        <w:rPr>
          <w:noProof/>
        </w:rPr>
        <w:fldChar w:fldCharType="end"/>
      </w:r>
      <w:bookmarkEnd w:id="184"/>
      <w:r>
        <w:t>. Agency in charge of setting targets, Serving Citizens 2024</w:t>
      </w:r>
      <w:bookmarkEnd w:id="185"/>
    </w:p>
    <w:p w:rsidR="006658BC" w:rsidRDefault="006658BC" w14:paraId="0342348E" w14:textId="59C80290">
      <w:pPr>
        <w:pStyle w:val="Figure"/>
        <w:rPr>
          <w:i/>
        </w:rPr>
      </w:pPr>
      <w:r>
        <w:rPr>
          <w:noProof/>
        </w:rPr>
        <w:drawing>
          <wp:inline distT="0" distB="0" distL="0" distR="0" wp14:anchorId="691746DF" wp14:editId="31F80819">
            <wp:extent cx="4381720" cy="2188497"/>
            <wp:effectExtent l="0" t="0" r="0" b="2540"/>
            <wp:docPr id="871359099" name="Picture 12" descr="A graph of different military personn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59099" name="Picture 12" descr="A graph of different military personnel&#10;&#10;AI-generated content may be incorrect."/>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403234" cy="2199242"/>
                    </a:xfrm>
                    <a:prstGeom prst="rect">
                      <a:avLst/>
                    </a:prstGeom>
                    <a:noFill/>
                    <a:ln>
                      <a:noFill/>
                    </a:ln>
                  </pic:spPr>
                </pic:pic>
              </a:graphicData>
            </a:graphic>
          </wp:inline>
        </w:drawing>
      </w:r>
    </w:p>
    <w:p w:rsidR="00732074" w:rsidP="006658BC" w:rsidRDefault="006658BC" w14:paraId="287E76FD" w14:textId="1AC762FC">
      <w:pPr>
        <w:pStyle w:val="Sourcenotes"/>
      </w:pPr>
      <w:r w:rsidRPr="004802B4">
        <w:t xml:space="preserve">Source: </w:t>
      </w:r>
      <w:sdt>
        <w:sdtPr>
          <w:id w:val="-873066356"/>
          <w:citation/>
        </w:sdtPr>
        <w:sdtEndPr/>
        <w:sdtContent>
          <w:r w:rsidR="00CB189C">
            <w:fldChar w:fldCharType="begin"/>
          </w:r>
          <w:r w:rsidR="00CB189C">
            <w:instrText xml:space="preserve"> CITATION Mend_3D67lUxdTjmhmslx8w5nRg \l 2057 </w:instrText>
          </w:r>
          <w:r w:rsidR="00CB189C">
            <w:fldChar w:fldCharType="separate"/>
          </w:r>
          <w:r w:rsidRPr="00F86F21" w:rsidR="00F86F21">
            <w:rPr>
              <w:noProof/>
            </w:rPr>
            <w:t>(OECD, Forthcoming</w:t>
          </w:r>
          <w:r w:rsidRPr="00F86F21" w:rsidR="00F86F21">
            <w:rPr>
              <w:noProof/>
              <w:vertAlign w:val="subscript"/>
            </w:rPr>
            <w:t>[17]</w:t>
          </w:r>
          <w:r w:rsidRPr="00F86F21" w:rsidR="00F86F21">
            <w:rPr>
              <w:noProof/>
            </w:rPr>
            <w:t>)</w:t>
          </w:r>
          <w:r w:rsidR="00CB189C">
            <w:fldChar w:fldCharType="end"/>
          </w:r>
        </w:sdtContent>
      </w:sdt>
      <w:r w:rsidR="00CB189C">
        <w:t>.</w:t>
      </w:r>
    </w:p>
    <w:p w:rsidRPr="006B4089" w:rsidR="006B4089" w:rsidP="00732074" w:rsidRDefault="00732074" w14:paraId="346F7E70" w14:textId="2526C80B">
      <w:pPr>
        <w:pStyle w:val="Para"/>
        <w:numPr>
          <w:ilvl w:val="0"/>
          <w:numId w:val="0"/>
        </w:numPr>
      </w:pPr>
      <w:r w:rsidRPr="00832509">
        <w:rPr>
          <w:b/>
          <w:bCs/>
        </w:rPr>
        <w:t>Performance targets are commonly linked to incentives for public officials to meet these targets.</w:t>
      </w:r>
      <w:r>
        <w:t xml:space="preserve"> </w:t>
      </w:r>
      <w:r w:rsidRPr="00E97B29">
        <w:t>Among these, recognition or awards program</w:t>
      </w:r>
      <w:r>
        <w:t>me</w:t>
      </w:r>
      <w:r w:rsidRPr="00E97B29">
        <w:t xml:space="preserve">s for high-performing staff or teams </w:t>
      </w:r>
      <w:r>
        <w:t xml:space="preserve">is employed in Croatia, Greece, and Spain. </w:t>
      </w:r>
      <w:r w:rsidRPr="00B242B7">
        <w:t xml:space="preserve">Other approaches include promotions or career advancement </w:t>
      </w:r>
      <w:r>
        <w:t>(practiced in Croatia and Finland) and recognition awards (Spain and Greece). Countries can also adopt negative incentives in the form of penalties and sanctions. This is employed in Croatia, alongside the positive incentives also in place in the country</w:t>
      </w:r>
      <w:r w:rsidR="006658BC">
        <w:t xml:space="preserve"> (</w:t>
      </w:r>
      <w:r w:rsidR="006658BC">
        <w:fldChar w:fldCharType="begin"/>
      </w:r>
      <w:r w:rsidR="006658BC">
        <w:instrText xml:space="preserve"> REF _Ref215478147 \h </w:instrText>
      </w:r>
      <w:r w:rsidR="006658BC">
        <w:fldChar w:fldCharType="separate"/>
      </w:r>
      <w:r w:rsidR="00543B3D">
        <w:rPr>
          <w:b/>
          <w:bCs/>
          <w:lang w:val="en-US"/>
        </w:rPr>
        <w:t>Error! Reference source not found.</w:t>
      </w:r>
      <w:r w:rsidR="006658BC">
        <w:fldChar w:fldCharType="end"/>
      </w:r>
      <w:r w:rsidR="006658BC">
        <w:t>)</w:t>
      </w:r>
      <w:r>
        <w:t>.</w:t>
      </w:r>
      <w:r w:rsidR="0022246E">
        <w:t xml:space="preserve"> </w:t>
      </w:r>
    </w:p>
    <w:p w:rsidR="006B4089" w:rsidP="006B4089" w:rsidRDefault="006B4089" w14:paraId="1CFADA44" w14:textId="61CFE4D4">
      <w:pPr>
        <w:pStyle w:val="Caption"/>
      </w:pPr>
      <w:bookmarkStart w:name="_Toc223413782" w:id="186"/>
      <w:r>
        <w:t>Figure </w:t>
      </w:r>
      <w:r>
        <w:rPr>
          <w:noProof/>
        </w:rPr>
        <w:fldChar w:fldCharType="begin"/>
      </w:r>
      <w:r>
        <w:rPr>
          <w:noProof/>
        </w:rPr>
        <w:instrText xml:space="preserve"> STYLEREF 1 \s </w:instrText>
      </w:r>
      <w:r>
        <w:rPr>
          <w:noProof/>
        </w:rPr>
        <w:fldChar w:fldCharType="separate"/>
      </w:r>
      <w:r w:rsidR="00543B3D">
        <w:rPr>
          <w:noProof/>
        </w:rPr>
        <w:t>5</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8</w:t>
      </w:r>
      <w:r>
        <w:rPr>
          <w:noProof/>
        </w:rPr>
        <w:fldChar w:fldCharType="end"/>
      </w:r>
      <w:r>
        <w:t>. Incentives for meeting targets, Serving Citizens 2024</w:t>
      </w:r>
      <w:bookmarkEnd w:id="186"/>
    </w:p>
    <w:p w:rsidR="006658BC" w:rsidRDefault="006658BC" w14:paraId="5F377E3D" w14:textId="49D7FCA0">
      <w:pPr>
        <w:pStyle w:val="Figure"/>
        <w:rPr>
          <w:i/>
        </w:rPr>
      </w:pPr>
      <w:r>
        <w:rPr>
          <w:noProof/>
        </w:rPr>
        <w:drawing>
          <wp:inline distT="0" distB="0" distL="0" distR="0" wp14:anchorId="7E0365A8" wp14:editId="731D46D8">
            <wp:extent cx="4836277" cy="1933155"/>
            <wp:effectExtent l="0" t="0" r="2540" b="0"/>
            <wp:docPr id="959685869" name="Picture 13" descr="A blue squar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85869" name="Picture 13" descr="A blue squares with white text&#10;&#10;AI-generated content may be incorrect."/>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858638" cy="1942093"/>
                    </a:xfrm>
                    <a:prstGeom prst="rect">
                      <a:avLst/>
                    </a:prstGeom>
                    <a:noFill/>
                    <a:ln>
                      <a:noFill/>
                    </a:ln>
                  </pic:spPr>
                </pic:pic>
              </a:graphicData>
            </a:graphic>
          </wp:inline>
        </w:drawing>
      </w:r>
    </w:p>
    <w:p w:rsidR="006658BC" w:rsidP="006658BC" w:rsidRDefault="00732074" w14:paraId="19117F8F" w14:textId="0A7627B1">
      <w:pPr>
        <w:pStyle w:val="Sourcenotes"/>
      </w:pPr>
      <w:r w:rsidRPr="004802B4">
        <w:t xml:space="preserve">Source: </w:t>
      </w:r>
      <w:sdt>
        <w:sdtPr>
          <w:id w:val="-1469737215"/>
          <w:citation/>
        </w:sdtPr>
        <w:sdtEndPr/>
        <w:sdtContent>
          <w:r w:rsidR="00CB189C">
            <w:fldChar w:fldCharType="begin"/>
          </w:r>
          <w:r w:rsidR="00CB189C">
            <w:instrText xml:space="preserve"> CITATION Mend_3D67lUxdTjmhmslx8w5nRg \l 2057 </w:instrText>
          </w:r>
          <w:r w:rsidR="00CB189C">
            <w:fldChar w:fldCharType="separate"/>
          </w:r>
          <w:r w:rsidRPr="00F86F21" w:rsidR="00F86F21">
            <w:rPr>
              <w:noProof/>
            </w:rPr>
            <w:t>(OECD, Forthcoming</w:t>
          </w:r>
          <w:r w:rsidRPr="00F86F21" w:rsidR="00F86F21">
            <w:rPr>
              <w:noProof/>
              <w:vertAlign w:val="subscript"/>
            </w:rPr>
            <w:t>[17]</w:t>
          </w:r>
          <w:r w:rsidRPr="00F86F21" w:rsidR="00F86F21">
            <w:rPr>
              <w:noProof/>
            </w:rPr>
            <w:t>)</w:t>
          </w:r>
          <w:r w:rsidR="00CB189C">
            <w:fldChar w:fldCharType="end"/>
          </w:r>
        </w:sdtContent>
      </w:sdt>
      <w:r w:rsidR="00CB189C">
        <w:t>.</w:t>
      </w:r>
    </w:p>
    <w:p w:rsidR="00732074" w:rsidP="00732074" w:rsidRDefault="00732074" w14:paraId="4F574A6B" w14:textId="03206A2E">
      <w:pPr>
        <w:pStyle w:val="Para"/>
        <w:numPr>
          <w:ilvl w:val="0"/>
          <w:numId w:val="0"/>
        </w:numPr>
      </w:pPr>
      <w:r w:rsidRPr="00832509">
        <w:rPr>
          <w:b/>
          <w:bCs/>
        </w:rPr>
        <w:t>Responsibility for consolidating performance information varies across countries, with no single institutional model predominating.</w:t>
      </w:r>
      <w:r w:rsidRPr="00593EB2">
        <w:t xml:space="preserve"> In several cases, digital government authorities or public administration ministries play a leading role, as seen in Lithuania, Estonia and Spain for the former, and Slovenia, Ireland and Spain for the latter. Other governments centralise this function within the centre of government, such as Latvia and Finland. Fewer countries rely on sectoral </w:t>
      </w:r>
      <w:r>
        <w:t>Ministries</w:t>
      </w:r>
      <w:r w:rsidRPr="00593EB2">
        <w:t>: Ireland channels this work through its finance ministry, while Lithuania assigns it to the ministry</w:t>
      </w:r>
      <w:r w:rsidR="001B5387">
        <w:t xml:space="preserve"> of interior</w:t>
      </w:r>
      <w:r w:rsidR="006658BC">
        <w:t xml:space="preserve"> (</w:t>
      </w:r>
      <w:r w:rsidR="006658BC">
        <w:fldChar w:fldCharType="begin"/>
      </w:r>
      <w:r w:rsidR="006658BC">
        <w:instrText xml:space="preserve"> REF _Ref215478190 \h </w:instrText>
      </w:r>
      <w:r w:rsidR="006658BC">
        <w:fldChar w:fldCharType="separate"/>
      </w:r>
      <w:r w:rsidR="00543B3D">
        <w:rPr>
          <w:b/>
          <w:bCs/>
          <w:lang w:val="en-US"/>
        </w:rPr>
        <w:t>Error! Reference source not found.</w:t>
      </w:r>
      <w:r w:rsidR="006658BC">
        <w:fldChar w:fldCharType="end"/>
      </w:r>
      <w:r w:rsidR="006658BC">
        <w:t>)</w:t>
      </w:r>
      <w:r w:rsidRPr="00593EB2">
        <w:t>.</w:t>
      </w:r>
    </w:p>
    <w:p w:rsidR="006B4089" w:rsidP="006B4089" w:rsidRDefault="006B4089" w14:paraId="1A5863F4" w14:textId="7A7472F4">
      <w:pPr>
        <w:pStyle w:val="Caption"/>
      </w:pPr>
      <w:bookmarkStart w:name="_Toc223413783" w:id="187"/>
      <w:r>
        <w:t>Figure </w:t>
      </w:r>
      <w:r>
        <w:rPr>
          <w:noProof/>
        </w:rPr>
        <w:fldChar w:fldCharType="begin"/>
      </w:r>
      <w:r>
        <w:rPr>
          <w:noProof/>
        </w:rPr>
        <w:instrText xml:space="preserve"> STYLEREF 1 \s </w:instrText>
      </w:r>
      <w:r>
        <w:rPr>
          <w:noProof/>
        </w:rPr>
        <w:fldChar w:fldCharType="separate"/>
      </w:r>
      <w:r w:rsidR="00543B3D">
        <w:rPr>
          <w:noProof/>
        </w:rPr>
        <w:t>5</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9</w:t>
      </w:r>
      <w:r>
        <w:rPr>
          <w:noProof/>
        </w:rPr>
        <w:fldChar w:fldCharType="end"/>
      </w:r>
      <w:r>
        <w:t>. Agency in charge of centralising performance data, Serving Citizens 2024</w:t>
      </w:r>
      <w:bookmarkEnd w:id="187"/>
    </w:p>
    <w:p w:rsidR="006658BC" w:rsidRDefault="006658BC" w14:paraId="4033D219" w14:textId="3FD00AB1">
      <w:pPr>
        <w:pStyle w:val="Figure"/>
        <w:rPr>
          <w:i/>
        </w:rPr>
      </w:pPr>
      <w:r>
        <w:rPr>
          <w:noProof/>
        </w:rPr>
        <w:drawing>
          <wp:inline distT="0" distB="0" distL="0" distR="0" wp14:anchorId="2B36EF8F" wp14:editId="759110D2">
            <wp:extent cx="5888990" cy="1762760"/>
            <wp:effectExtent l="0" t="0" r="0" b="8890"/>
            <wp:docPr id="550532199" name="Picture 18" descr="A graph of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32199" name="Picture 18" descr="A graph of blue squares&#10;&#10;AI-generated content may be incorrect."/>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888990" cy="1762760"/>
                    </a:xfrm>
                    <a:prstGeom prst="rect">
                      <a:avLst/>
                    </a:prstGeom>
                    <a:noFill/>
                    <a:ln>
                      <a:noFill/>
                    </a:ln>
                  </pic:spPr>
                </pic:pic>
              </a:graphicData>
            </a:graphic>
          </wp:inline>
        </w:drawing>
      </w:r>
    </w:p>
    <w:p w:rsidR="006658BC" w:rsidP="006658BC" w:rsidRDefault="006658BC" w14:paraId="4E5D221C" w14:textId="7A091859">
      <w:pPr>
        <w:pStyle w:val="Sourcenotes"/>
      </w:pPr>
      <w:r w:rsidRPr="004802B4">
        <w:t xml:space="preserve">Source: </w:t>
      </w:r>
      <w:sdt>
        <w:sdtPr>
          <w:id w:val="1752236902"/>
          <w:citation/>
        </w:sdtPr>
        <w:sdtEndPr/>
        <w:sdtContent>
          <w:r w:rsidR="00CB189C">
            <w:fldChar w:fldCharType="begin"/>
          </w:r>
          <w:r w:rsidR="00CB189C">
            <w:instrText xml:space="preserve"> CITATION Mend_3D67lUxdTjmhmslx8w5nRg \l 2057 </w:instrText>
          </w:r>
          <w:r w:rsidR="00CB189C">
            <w:fldChar w:fldCharType="separate"/>
          </w:r>
          <w:r w:rsidRPr="00F86F21" w:rsidR="00F86F21">
            <w:rPr>
              <w:noProof/>
            </w:rPr>
            <w:t>(OECD, Forthcoming</w:t>
          </w:r>
          <w:r w:rsidRPr="00F86F21" w:rsidR="00F86F21">
            <w:rPr>
              <w:noProof/>
              <w:vertAlign w:val="subscript"/>
            </w:rPr>
            <w:t>[17]</w:t>
          </w:r>
          <w:r w:rsidRPr="00F86F21" w:rsidR="00F86F21">
            <w:rPr>
              <w:noProof/>
            </w:rPr>
            <w:t>)</w:t>
          </w:r>
          <w:r w:rsidR="00CB189C">
            <w:fldChar w:fldCharType="end"/>
          </w:r>
        </w:sdtContent>
      </w:sdt>
      <w:r w:rsidR="00CB189C">
        <w:t>.</w:t>
      </w:r>
    </w:p>
    <w:p w:rsidR="00732074" w:rsidP="00732074" w:rsidRDefault="00732074" w14:paraId="117E5435" w14:textId="1DB4986D">
      <w:pPr>
        <w:pStyle w:val="Para"/>
        <w:numPr>
          <w:ilvl w:val="0"/>
          <w:numId w:val="0"/>
        </w:numPr>
      </w:pPr>
      <w:r w:rsidRPr="00832509">
        <w:rPr>
          <w:b/>
          <w:bCs/>
        </w:rPr>
        <w:t>Like OECD countries, the EU10 countries can also improve in making service performance data available to the public</w:t>
      </w:r>
      <w:r>
        <w:t xml:space="preserve">, with </w:t>
      </w:r>
      <w:r w:rsidR="001B5387">
        <w:t xml:space="preserve">only </w:t>
      </w:r>
      <w:r>
        <w:t xml:space="preserve">half </w:t>
      </w:r>
      <w:r w:rsidR="006658BC">
        <w:t>making</w:t>
      </w:r>
      <w:r w:rsidRPr="00E86220">
        <w:t xml:space="preserve"> information on public services performance available in some form of published report</w:t>
      </w:r>
      <w:r w:rsidR="001B5387">
        <w:t xml:space="preserve"> so far</w:t>
      </w:r>
      <w:r w:rsidRPr="00E86220">
        <w:t>.</w:t>
      </w:r>
      <w:r>
        <w:t xml:space="preserve"> Greece is the only EU10 country that publishes its performance information in open data format</w:t>
      </w:r>
      <w:r w:rsidR="006658BC">
        <w:t xml:space="preserve"> (</w:t>
      </w:r>
      <w:r w:rsidR="006658BC">
        <w:fldChar w:fldCharType="begin"/>
      </w:r>
      <w:r w:rsidR="006658BC">
        <w:instrText xml:space="preserve"> REF _Ref215478251 \h </w:instrText>
      </w:r>
      <w:r w:rsidR="006658BC">
        <w:fldChar w:fldCharType="separate"/>
      </w:r>
      <w:r w:rsidR="00543B3D">
        <w:rPr>
          <w:b/>
          <w:bCs/>
          <w:lang w:val="en-US"/>
        </w:rPr>
        <w:t>Error! Reference source not found.</w:t>
      </w:r>
      <w:r w:rsidR="006658BC">
        <w:fldChar w:fldCharType="end"/>
      </w:r>
      <w:r w:rsidR="006658BC">
        <w:t>)</w:t>
      </w:r>
      <w:r>
        <w:t xml:space="preserve">. </w:t>
      </w:r>
      <w:r w:rsidRPr="00A91383">
        <w:t xml:space="preserve">More comprehensive and accessible publication of performance data would provide more transparency and accountability for government agencies delivering </w:t>
      </w:r>
      <w:r>
        <w:t>administrative services</w:t>
      </w:r>
      <w:r w:rsidRPr="00A91383">
        <w:t xml:space="preserve"> and would better enable the public and civil society to benchmark the performance </w:t>
      </w:r>
      <w:r w:rsidR="001B5387">
        <w:t xml:space="preserve">of </w:t>
      </w:r>
      <w:r w:rsidRPr="00A91383">
        <w:t>government agencies with others and identify areas to improve public service delivery.</w:t>
      </w:r>
    </w:p>
    <w:p w:rsidR="006B4089" w:rsidP="006B4089" w:rsidRDefault="006B4089" w14:paraId="43EDBE41" w14:textId="292A67A8">
      <w:pPr>
        <w:pStyle w:val="Caption"/>
      </w:pPr>
      <w:bookmarkStart w:name="_Toc223413784" w:id="188"/>
      <w:r>
        <w:t>Figure </w:t>
      </w:r>
      <w:r>
        <w:rPr>
          <w:noProof/>
        </w:rPr>
        <w:fldChar w:fldCharType="begin"/>
      </w:r>
      <w:r>
        <w:rPr>
          <w:noProof/>
        </w:rPr>
        <w:instrText xml:space="preserve"> STYLEREF 1 \s </w:instrText>
      </w:r>
      <w:r>
        <w:rPr>
          <w:noProof/>
        </w:rPr>
        <w:fldChar w:fldCharType="separate"/>
      </w:r>
      <w:r w:rsidR="00543B3D">
        <w:rPr>
          <w:noProof/>
        </w:rPr>
        <w:t>5</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10</w:t>
      </w:r>
      <w:r>
        <w:rPr>
          <w:noProof/>
        </w:rPr>
        <w:fldChar w:fldCharType="end"/>
      </w:r>
      <w:r>
        <w:t>. Publication of performance data, Serving Citizens 2024</w:t>
      </w:r>
      <w:bookmarkEnd w:id="188"/>
    </w:p>
    <w:p w:rsidR="006658BC" w:rsidRDefault="006658BC" w14:paraId="5F3D1020" w14:textId="12AC9272">
      <w:pPr>
        <w:pStyle w:val="Figure"/>
        <w:rPr>
          <w:i/>
        </w:rPr>
      </w:pPr>
      <w:r>
        <w:rPr>
          <w:noProof/>
        </w:rPr>
        <w:drawing>
          <wp:inline distT="0" distB="0" distL="0" distR="0" wp14:anchorId="017AE181" wp14:editId="6229CD48">
            <wp:extent cx="5888990" cy="1762760"/>
            <wp:effectExtent l="0" t="0" r="0" b="8890"/>
            <wp:docPr id="803277454" name="Picture 19" descr="A blue rectangular object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277454" name="Picture 19" descr="A blue rectangular object with black lines&#10;&#10;AI-generated content may be incorrect."/>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888990" cy="1762760"/>
                    </a:xfrm>
                    <a:prstGeom prst="rect">
                      <a:avLst/>
                    </a:prstGeom>
                    <a:noFill/>
                    <a:ln>
                      <a:noFill/>
                    </a:ln>
                  </pic:spPr>
                </pic:pic>
              </a:graphicData>
            </a:graphic>
          </wp:inline>
        </w:drawing>
      </w:r>
    </w:p>
    <w:p w:rsidRPr="00454399" w:rsidR="006658BC" w:rsidRDefault="006658BC" w14:paraId="5EC0BA1F" w14:textId="66B68EA4">
      <w:pPr>
        <w:pStyle w:val="Sourcenotes"/>
      </w:pPr>
      <w:r w:rsidRPr="004802B4">
        <w:t xml:space="preserve">Source: </w:t>
      </w:r>
      <w:sdt>
        <w:sdtPr>
          <w:id w:val="351228886"/>
          <w:citation/>
        </w:sdtPr>
        <w:sdtEndPr/>
        <w:sdtContent>
          <w:r w:rsidR="00CB189C">
            <w:fldChar w:fldCharType="begin"/>
          </w:r>
          <w:r w:rsidR="00CB189C">
            <w:instrText xml:space="preserve"> CITATION Mend_3D67lUxdTjmhmslx8w5nRg \l 2057 </w:instrText>
          </w:r>
          <w:r w:rsidR="00CB189C">
            <w:fldChar w:fldCharType="separate"/>
          </w:r>
          <w:r w:rsidRPr="00F86F21" w:rsidR="00F86F21">
            <w:rPr>
              <w:noProof/>
            </w:rPr>
            <w:t>(OECD, Forthcoming</w:t>
          </w:r>
          <w:r w:rsidRPr="00F86F21" w:rsidR="00F86F21">
            <w:rPr>
              <w:noProof/>
              <w:vertAlign w:val="subscript"/>
            </w:rPr>
            <w:t>[17]</w:t>
          </w:r>
          <w:r w:rsidRPr="00F86F21" w:rsidR="00F86F21">
            <w:rPr>
              <w:noProof/>
            </w:rPr>
            <w:t>)</w:t>
          </w:r>
          <w:r w:rsidR="00CB189C">
            <w:fldChar w:fldCharType="end"/>
          </w:r>
        </w:sdtContent>
      </w:sdt>
      <w:r w:rsidR="00CB189C">
        <w:t>.</w:t>
      </w:r>
    </w:p>
    <w:p w:rsidR="00732074" w:rsidP="00732074" w:rsidRDefault="00732074" w14:paraId="6A9C7731" w14:textId="38874E78">
      <w:pPr>
        <w:pStyle w:val="Para"/>
        <w:numPr>
          <w:ilvl w:val="0"/>
          <w:numId w:val="0"/>
        </w:numPr>
      </w:pPr>
      <w:r w:rsidRPr="00832509">
        <w:rPr>
          <w:b/>
          <w:bCs/>
        </w:rPr>
        <w:t>OECD countries may not fully exploit the potential of user experience and service performance data in processes to improve public services.</w:t>
      </w:r>
      <w:r>
        <w:t xml:space="preserve"> Only Estonia and Lithuania report using the performance data to improve services and Finland is the only country that uses the data to measure impact of reforms. The most common usage of the data is to communicate the results. </w:t>
      </w:r>
      <w:r w:rsidRPr="006278A0">
        <w:t xml:space="preserve">Although OECD countries have made progress to use user experience and performance data in various purposes, they should continue use such data to identify </w:t>
      </w:r>
      <w:r w:rsidR="00726958">
        <w:t xml:space="preserve">areas for </w:t>
      </w:r>
      <w:r w:rsidRPr="006278A0">
        <w:t>improvement in public service delivery to enhance public sector efficiency and effectiveness.</w:t>
      </w:r>
    </w:p>
    <w:p w:rsidR="006B4089" w:rsidP="006B4089" w:rsidRDefault="006B4089" w14:paraId="76359326" w14:textId="33FE832C">
      <w:pPr>
        <w:pStyle w:val="Caption"/>
      </w:pPr>
      <w:bookmarkStart w:name="_Toc223413785" w:id="189"/>
      <w:r>
        <w:t>Figure </w:t>
      </w:r>
      <w:r>
        <w:rPr>
          <w:noProof/>
        </w:rPr>
        <w:fldChar w:fldCharType="begin"/>
      </w:r>
      <w:r>
        <w:rPr>
          <w:noProof/>
        </w:rPr>
        <w:instrText xml:space="preserve"> STYLEREF 1 \s </w:instrText>
      </w:r>
      <w:r>
        <w:rPr>
          <w:noProof/>
        </w:rPr>
        <w:fldChar w:fldCharType="separate"/>
      </w:r>
      <w:r w:rsidR="00543B3D">
        <w:rPr>
          <w:noProof/>
        </w:rPr>
        <w:t>5</w:t>
      </w:r>
      <w:r>
        <w:rPr>
          <w:noProof/>
        </w:rPr>
        <w:fldChar w:fldCharType="end"/>
      </w:r>
      <w:r>
        <w:t>.</w:t>
      </w:r>
      <w:r>
        <w:rPr>
          <w:noProof/>
        </w:rPr>
        <w:fldChar w:fldCharType="begin"/>
      </w:r>
      <w:r>
        <w:rPr>
          <w:noProof/>
        </w:rPr>
        <w:instrText xml:space="preserve"> SEQ Figure \* ARABIC \s 1 </w:instrText>
      </w:r>
      <w:r>
        <w:rPr>
          <w:noProof/>
        </w:rPr>
        <w:fldChar w:fldCharType="separate"/>
      </w:r>
      <w:r w:rsidR="00543B3D">
        <w:rPr>
          <w:noProof/>
        </w:rPr>
        <w:t>11</w:t>
      </w:r>
      <w:r>
        <w:rPr>
          <w:noProof/>
        </w:rPr>
        <w:fldChar w:fldCharType="end"/>
      </w:r>
      <w:r>
        <w:t>. Use of experience and performance data, Serving Citizens 2024</w:t>
      </w:r>
      <w:bookmarkEnd w:id="189"/>
    </w:p>
    <w:p w:rsidR="006658BC" w:rsidRDefault="006658BC" w14:paraId="20977A18" w14:textId="0B4B140F">
      <w:pPr>
        <w:pStyle w:val="Figure"/>
        <w:rPr>
          <w:i/>
        </w:rPr>
      </w:pPr>
      <w:r>
        <w:rPr>
          <w:noProof/>
        </w:rPr>
        <w:drawing>
          <wp:inline distT="0" distB="0" distL="0" distR="0" wp14:anchorId="5A4D307B" wp14:editId="5009E6FE">
            <wp:extent cx="4223154" cy="2953567"/>
            <wp:effectExtent l="0" t="0" r="6350" b="0"/>
            <wp:docPr id="1608024815" name="Picture 21" descr="A graph of blue rectangular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024815" name="Picture 21" descr="A graph of blue rectangular bars&#10;&#10;AI-generated content may be incorrect."/>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240710" cy="2965845"/>
                    </a:xfrm>
                    <a:prstGeom prst="rect">
                      <a:avLst/>
                    </a:prstGeom>
                    <a:noFill/>
                    <a:ln>
                      <a:noFill/>
                    </a:ln>
                  </pic:spPr>
                </pic:pic>
              </a:graphicData>
            </a:graphic>
          </wp:inline>
        </w:drawing>
      </w:r>
    </w:p>
    <w:p w:rsidRPr="00454399" w:rsidR="006658BC" w:rsidRDefault="006658BC" w14:paraId="4D2BF721" w14:textId="613E793A">
      <w:pPr>
        <w:pStyle w:val="Sourcenotes"/>
      </w:pPr>
      <w:r w:rsidRPr="004802B4">
        <w:t>Source</w:t>
      </w:r>
      <w:r>
        <w:t xml:space="preserve">: </w:t>
      </w:r>
      <w:sdt>
        <w:sdtPr>
          <w:id w:val="386615026"/>
          <w:citation/>
        </w:sdtPr>
        <w:sdtEndPr/>
        <w:sdtContent>
          <w:r w:rsidR="00CB189C">
            <w:fldChar w:fldCharType="begin"/>
          </w:r>
          <w:r w:rsidR="00CB189C">
            <w:instrText xml:space="preserve"> CITATION Mend_3D67lUxdTjmhmslx8w5nRg \l 2057 </w:instrText>
          </w:r>
          <w:r w:rsidR="00CB189C">
            <w:fldChar w:fldCharType="separate"/>
          </w:r>
          <w:r w:rsidRPr="00F86F21" w:rsidR="00F86F21">
            <w:rPr>
              <w:noProof/>
            </w:rPr>
            <w:t>(</w:t>
          </w:r>
          <w:bookmarkStart w:name="Mend_3D67lUxdTjmhmslx8w5nRg_17" w:id="190"/>
          <w:r w:rsidRPr="00F86F21" w:rsidR="00F86F21">
            <w:rPr>
              <w:noProof/>
            </w:rPr>
            <w:t>OECD, Forthcoming</w:t>
          </w:r>
          <w:r w:rsidRPr="00F86F21" w:rsidR="00F86F21">
            <w:rPr>
              <w:noProof/>
              <w:vertAlign w:val="subscript"/>
            </w:rPr>
            <w:t>[17]</w:t>
          </w:r>
          <w:r w:rsidRPr="00F86F21" w:rsidR="00F86F21">
            <w:rPr>
              <w:noProof/>
            </w:rPr>
            <w:t>)</w:t>
          </w:r>
          <w:bookmarkEnd w:id="190"/>
          <w:r w:rsidR="00CB189C">
            <w:fldChar w:fldCharType="end"/>
          </w:r>
        </w:sdtContent>
      </w:sdt>
      <w:r w:rsidR="00CB189C">
        <w:t>.</w:t>
      </w:r>
    </w:p>
    <w:p w:rsidR="003D1FB4" w:rsidP="003D1FB4" w:rsidRDefault="00804DDF" w14:paraId="2791F5BC" w14:textId="7B01D0E6">
      <w:pPr>
        <w:pStyle w:val="Para0"/>
        <w:rPr>
          <w:lang w:val="en-US"/>
        </w:rPr>
      </w:pPr>
      <w:r w:rsidRPr="00832509">
        <w:rPr>
          <w:b/>
          <w:bCs/>
        </w:rPr>
        <w:t>In addition to the definition of performance targets, measurement data can be defined to support simplification.</w:t>
      </w:r>
      <w:r>
        <w:t xml:space="preserve"> </w:t>
      </w:r>
      <w:r w:rsidR="00AA1D30">
        <w:t xml:space="preserve">By developing </w:t>
      </w:r>
      <w:r w:rsidR="00AA1D30">
        <w:rPr>
          <w:b/>
          <w:bCs/>
        </w:rPr>
        <w:t>impact frameworks</w:t>
      </w:r>
      <w:r w:rsidR="00AA1D30">
        <w:t xml:space="preserve">, countries can distinguish between inputs, processes, outputs and intermediate and final (or high-level) outcomes expected from public service delivery. </w:t>
      </w:r>
      <w:r w:rsidR="003D1FB4">
        <w:rPr>
          <w:lang w:val="en-US"/>
        </w:rPr>
        <w:t>Whilst impact frameworks can be specified to evaluate the delivery of individual services, it is also possible to integrate (or overlay) a perspective on burden measurement and simplification. The rationale for doing so is to enable service designers and administrators to clearly identify the overheads and cost drivers, to identify opportunities for simplifying the user experience or gaining efficiencies, and to measure and link simplification efforts to long-term value.</w:t>
      </w:r>
      <w:r w:rsidR="006373E3">
        <w:rPr>
          <w:lang w:val="en-US"/>
        </w:rPr>
        <w:t xml:space="preserve"> </w:t>
      </w:r>
      <w:r w:rsidR="006373E3">
        <w:rPr>
          <w:lang w:val="en-US"/>
        </w:rPr>
        <w:fldChar w:fldCharType="begin"/>
      </w:r>
      <w:r w:rsidR="006373E3">
        <w:rPr>
          <w:lang w:val="en-US"/>
        </w:rPr>
        <w:instrText xml:space="preserve"> REF _Ref215589348 \h </w:instrText>
      </w:r>
      <w:r w:rsidR="006373E3">
        <w:rPr>
          <w:lang w:val="en-US"/>
        </w:rPr>
      </w:r>
      <w:r w:rsidR="006373E3">
        <w:rPr>
          <w:lang w:val="en-US"/>
        </w:rPr>
        <w:fldChar w:fldCharType="separate"/>
      </w:r>
      <w:r w:rsidR="00543B3D">
        <w:t>Table </w:t>
      </w:r>
      <w:r w:rsidR="00543B3D">
        <w:rPr>
          <w:noProof/>
        </w:rPr>
        <w:t>5</w:t>
      </w:r>
      <w:r w:rsidR="00543B3D">
        <w:t>.</w:t>
      </w:r>
      <w:r w:rsidR="00543B3D">
        <w:rPr>
          <w:noProof/>
        </w:rPr>
        <w:t>1</w:t>
      </w:r>
      <w:r w:rsidR="006373E3">
        <w:rPr>
          <w:lang w:val="en-US"/>
        </w:rPr>
        <w:fldChar w:fldCharType="end"/>
      </w:r>
      <w:r w:rsidR="003D1FB4">
        <w:rPr>
          <w:lang w:val="en-US"/>
        </w:rPr>
        <w:t xml:space="preserve"> outlines how burden measurement and simplification can be integrated into existing impact frameworks and the rationale for its consideration.</w:t>
      </w:r>
    </w:p>
    <w:p w:rsidR="003D1FB4" w:rsidP="00454399" w:rsidRDefault="003D1FB4" w14:paraId="0A3993B1" w14:textId="34BEF54E">
      <w:pPr>
        <w:pStyle w:val="Caption"/>
      </w:pPr>
      <w:bookmarkStart w:name="_Ref215589348" w:id="191"/>
      <w:bookmarkStart w:name="_Toc223413789" w:id="192"/>
      <w:r>
        <w:t>Table </w:t>
      </w:r>
      <w:r>
        <w:rPr>
          <w:noProof/>
        </w:rPr>
        <w:fldChar w:fldCharType="begin"/>
      </w:r>
      <w:r>
        <w:rPr>
          <w:noProof/>
        </w:rPr>
        <w:instrText xml:space="preserve"> STYLEREF 1 \s </w:instrText>
      </w:r>
      <w:r>
        <w:rPr>
          <w:noProof/>
        </w:rPr>
        <w:fldChar w:fldCharType="separate"/>
      </w:r>
      <w:r w:rsidR="00543B3D">
        <w:rPr>
          <w:noProof/>
        </w:rPr>
        <w:t>5</w:t>
      </w:r>
      <w:r>
        <w:rPr>
          <w:noProof/>
        </w:rPr>
        <w:fldChar w:fldCharType="end"/>
      </w:r>
      <w:r>
        <w:t>.</w:t>
      </w:r>
      <w:r>
        <w:rPr>
          <w:noProof/>
        </w:rPr>
        <w:fldChar w:fldCharType="begin"/>
      </w:r>
      <w:r>
        <w:rPr>
          <w:noProof/>
        </w:rPr>
        <w:instrText xml:space="preserve"> SEQ Table \* ARABIC \s 1 </w:instrText>
      </w:r>
      <w:r>
        <w:rPr>
          <w:noProof/>
        </w:rPr>
        <w:fldChar w:fldCharType="separate"/>
      </w:r>
      <w:r w:rsidR="00543B3D">
        <w:rPr>
          <w:noProof/>
        </w:rPr>
        <w:t>1</w:t>
      </w:r>
      <w:r>
        <w:rPr>
          <w:noProof/>
        </w:rPr>
        <w:fldChar w:fldCharType="end"/>
      </w:r>
      <w:bookmarkEnd w:id="191"/>
      <w:r>
        <w:t>. Measuring the burden stemming from complexity and the impact of simplification</w:t>
      </w:r>
      <w:bookmarkEnd w:id="192"/>
      <w:r>
        <w:t xml:space="preserve"> </w:t>
      </w:r>
    </w:p>
    <w:tbl>
      <w:tblPr>
        <w:tblStyle w:val="OEC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55"/>
        <w:gridCol w:w="3461"/>
        <w:gridCol w:w="4272"/>
      </w:tblGrid>
      <w:tr w:rsidRPr="00417400" w:rsidR="000E0360" w:rsidTr="00832509" w14:paraId="6BA3CDFE" w14:textId="77777777">
        <w:tc>
          <w:tcPr>
            <w:tcW w:w="1555" w:type="dxa"/>
            <w:hideMark/>
          </w:tcPr>
          <w:p w:rsidRPr="009D1718" w:rsidR="000E0360" w:rsidP="00832509" w:rsidRDefault="000E0360" w14:paraId="39DCE5DF" w14:textId="77777777">
            <w:pPr>
              <w:pStyle w:val="Para0"/>
              <w:spacing w:line="240" w:lineRule="auto"/>
              <w:jc w:val="left"/>
              <w:rPr>
                <w:b/>
                <w:bCs/>
                <w:sz w:val="18"/>
                <w:szCs w:val="18"/>
              </w:rPr>
            </w:pPr>
            <w:r w:rsidRPr="009D1718">
              <w:rPr>
                <w:b/>
                <w:bCs/>
                <w:sz w:val="18"/>
                <w:szCs w:val="18"/>
              </w:rPr>
              <w:t>Framework stage</w:t>
            </w:r>
          </w:p>
        </w:tc>
        <w:tc>
          <w:tcPr>
            <w:tcW w:w="3461" w:type="dxa"/>
            <w:hideMark/>
          </w:tcPr>
          <w:p w:rsidRPr="009D1718" w:rsidR="000E0360" w:rsidP="00832509" w:rsidRDefault="000E0360" w14:paraId="6A6B7D6B" w14:textId="77777777">
            <w:pPr>
              <w:pStyle w:val="Para0"/>
              <w:spacing w:line="240" w:lineRule="auto"/>
              <w:jc w:val="left"/>
              <w:rPr>
                <w:b/>
                <w:bCs/>
                <w:sz w:val="18"/>
                <w:szCs w:val="18"/>
              </w:rPr>
            </w:pPr>
            <w:r w:rsidRPr="009D1718">
              <w:rPr>
                <w:b/>
                <w:bCs/>
                <w:sz w:val="18"/>
                <w:szCs w:val="18"/>
              </w:rPr>
              <w:t>Focus for burden measurement and simplification</w:t>
            </w:r>
          </w:p>
        </w:tc>
        <w:tc>
          <w:tcPr>
            <w:tcW w:w="0" w:type="auto"/>
            <w:hideMark/>
          </w:tcPr>
          <w:p w:rsidRPr="009D1718" w:rsidR="000E0360" w:rsidP="00832509" w:rsidRDefault="000E0360" w14:paraId="38B750CE" w14:textId="77777777">
            <w:pPr>
              <w:pStyle w:val="Para0"/>
              <w:spacing w:line="240" w:lineRule="auto"/>
              <w:jc w:val="left"/>
              <w:rPr>
                <w:b/>
                <w:bCs/>
                <w:sz w:val="18"/>
                <w:szCs w:val="18"/>
              </w:rPr>
            </w:pPr>
            <w:r w:rsidRPr="009D1718">
              <w:rPr>
                <w:b/>
                <w:bCs/>
                <w:sz w:val="18"/>
                <w:szCs w:val="18"/>
              </w:rPr>
              <w:t>Rationale</w:t>
            </w:r>
          </w:p>
        </w:tc>
      </w:tr>
      <w:tr w:rsidRPr="00417400" w:rsidR="000E0360" w:rsidTr="00832509" w14:paraId="4FCAE406" w14:textId="77777777">
        <w:tc>
          <w:tcPr>
            <w:tcW w:w="1555" w:type="dxa"/>
            <w:hideMark/>
          </w:tcPr>
          <w:p w:rsidRPr="009D1718" w:rsidR="000E0360" w:rsidP="00832509" w:rsidRDefault="000E0360" w14:paraId="06227D57" w14:textId="77777777">
            <w:pPr>
              <w:pStyle w:val="Para0"/>
              <w:spacing w:line="240" w:lineRule="auto"/>
              <w:jc w:val="left"/>
              <w:rPr>
                <w:sz w:val="18"/>
                <w:szCs w:val="18"/>
              </w:rPr>
            </w:pPr>
            <w:r w:rsidRPr="009D1718">
              <w:rPr>
                <w:b/>
                <w:bCs/>
                <w:sz w:val="18"/>
                <w:szCs w:val="18"/>
              </w:rPr>
              <w:t>Inputs</w:t>
            </w:r>
          </w:p>
        </w:tc>
        <w:tc>
          <w:tcPr>
            <w:tcW w:w="3461" w:type="dxa"/>
            <w:hideMark/>
          </w:tcPr>
          <w:p w:rsidRPr="009D1718" w:rsidR="000E0360" w:rsidP="00832509" w:rsidRDefault="000E0360" w14:paraId="742F3404" w14:textId="77777777">
            <w:pPr>
              <w:pStyle w:val="Para0"/>
              <w:spacing w:line="240" w:lineRule="auto"/>
              <w:jc w:val="left"/>
              <w:rPr>
                <w:sz w:val="18"/>
                <w:szCs w:val="18"/>
              </w:rPr>
            </w:pPr>
            <w:r w:rsidRPr="009D1718">
              <w:rPr>
                <w:sz w:val="18"/>
                <w:szCs w:val="18"/>
              </w:rPr>
              <w:t>Staff time, regulatory costs, financial resources associated with data handling, form processing, verification, documentation, etc.</w:t>
            </w:r>
          </w:p>
        </w:tc>
        <w:tc>
          <w:tcPr>
            <w:tcW w:w="0" w:type="auto"/>
            <w:hideMark/>
          </w:tcPr>
          <w:p w:rsidRPr="009D1718" w:rsidR="000E0360" w:rsidP="00832509" w:rsidRDefault="000E0360" w14:paraId="51EB6D3F" w14:textId="77777777">
            <w:pPr>
              <w:pStyle w:val="Para0"/>
              <w:spacing w:line="240" w:lineRule="auto"/>
              <w:jc w:val="left"/>
              <w:rPr>
                <w:sz w:val="18"/>
                <w:szCs w:val="18"/>
              </w:rPr>
            </w:pPr>
            <w:r w:rsidRPr="009D1718">
              <w:rPr>
                <w:sz w:val="18"/>
                <w:szCs w:val="18"/>
              </w:rPr>
              <w:t xml:space="preserve">Quantifies administrative overheads and cost drivers. Provides baseline and </w:t>
            </w:r>
          </w:p>
        </w:tc>
      </w:tr>
      <w:tr w:rsidRPr="00417400" w:rsidR="000E0360" w:rsidTr="00832509" w14:paraId="455B6D06" w14:textId="77777777">
        <w:tc>
          <w:tcPr>
            <w:tcW w:w="1555" w:type="dxa"/>
            <w:hideMark/>
          </w:tcPr>
          <w:p w:rsidRPr="009D1718" w:rsidR="000E0360" w:rsidP="00832509" w:rsidRDefault="000E0360" w14:paraId="359AA7BA" w14:textId="77777777">
            <w:pPr>
              <w:pStyle w:val="Para0"/>
              <w:spacing w:line="240" w:lineRule="auto"/>
              <w:jc w:val="left"/>
              <w:rPr>
                <w:sz w:val="18"/>
                <w:szCs w:val="18"/>
              </w:rPr>
            </w:pPr>
            <w:r w:rsidRPr="009D1718">
              <w:rPr>
                <w:b/>
                <w:bCs/>
                <w:sz w:val="18"/>
                <w:szCs w:val="18"/>
              </w:rPr>
              <w:t>Processes</w:t>
            </w:r>
          </w:p>
        </w:tc>
        <w:tc>
          <w:tcPr>
            <w:tcW w:w="3461" w:type="dxa"/>
            <w:hideMark/>
          </w:tcPr>
          <w:p w:rsidRPr="009D1718" w:rsidR="000E0360" w:rsidP="00832509" w:rsidRDefault="000E0360" w14:paraId="0921537B" w14:textId="77777777">
            <w:pPr>
              <w:pStyle w:val="Para0"/>
              <w:spacing w:line="240" w:lineRule="auto"/>
              <w:jc w:val="left"/>
              <w:rPr>
                <w:sz w:val="18"/>
                <w:szCs w:val="18"/>
              </w:rPr>
            </w:pPr>
            <w:r w:rsidRPr="009D1718">
              <w:rPr>
                <w:sz w:val="18"/>
                <w:szCs w:val="18"/>
              </w:rPr>
              <w:t>Workflow efficiency, digital integration and interoperability, duplication of steps</w:t>
            </w:r>
          </w:p>
        </w:tc>
        <w:tc>
          <w:tcPr>
            <w:tcW w:w="0" w:type="auto"/>
            <w:hideMark/>
          </w:tcPr>
          <w:p w:rsidRPr="009D1718" w:rsidR="000E0360" w:rsidP="00832509" w:rsidRDefault="000E0360" w14:paraId="5E8C3F0B" w14:textId="77777777">
            <w:pPr>
              <w:pStyle w:val="Para0"/>
              <w:spacing w:line="240" w:lineRule="auto"/>
              <w:jc w:val="left"/>
              <w:rPr>
                <w:sz w:val="18"/>
                <w:szCs w:val="18"/>
              </w:rPr>
            </w:pPr>
            <w:r w:rsidRPr="009D1718">
              <w:rPr>
                <w:sz w:val="18"/>
                <w:szCs w:val="18"/>
              </w:rPr>
              <w:t>Simplification has the strongest leverage here – it shapes user experience and internal efficiency. Assessment can lead to opportunity identification.</w:t>
            </w:r>
          </w:p>
        </w:tc>
      </w:tr>
      <w:tr w:rsidRPr="00417400" w:rsidR="000E0360" w:rsidTr="00832509" w14:paraId="5FE68397" w14:textId="77777777">
        <w:tc>
          <w:tcPr>
            <w:tcW w:w="1555" w:type="dxa"/>
            <w:hideMark/>
          </w:tcPr>
          <w:p w:rsidRPr="009D1718" w:rsidR="000E0360" w:rsidP="00832509" w:rsidRDefault="000E0360" w14:paraId="5F726BD3" w14:textId="77777777">
            <w:pPr>
              <w:pStyle w:val="Para0"/>
              <w:spacing w:line="240" w:lineRule="auto"/>
              <w:jc w:val="left"/>
              <w:rPr>
                <w:sz w:val="18"/>
                <w:szCs w:val="18"/>
              </w:rPr>
            </w:pPr>
            <w:r w:rsidRPr="009D1718">
              <w:rPr>
                <w:b/>
                <w:bCs/>
                <w:sz w:val="18"/>
                <w:szCs w:val="18"/>
              </w:rPr>
              <w:t>Outputs</w:t>
            </w:r>
          </w:p>
        </w:tc>
        <w:tc>
          <w:tcPr>
            <w:tcW w:w="3461" w:type="dxa"/>
            <w:hideMark/>
          </w:tcPr>
          <w:p w:rsidRPr="009D1718" w:rsidR="000E0360" w:rsidP="00832509" w:rsidRDefault="000E0360" w14:paraId="439F6607" w14:textId="77777777">
            <w:pPr>
              <w:pStyle w:val="Para0"/>
              <w:spacing w:line="240" w:lineRule="auto"/>
              <w:jc w:val="left"/>
              <w:rPr>
                <w:sz w:val="18"/>
                <w:szCs w:val="18"/>
              </w:rPr>
            </w:pPr>
            <w:r w:rsidRPr="009D1718">
              <w:rPr>
                <w:sz w:val="18"/>
                <w:szCs w:val="18"/>
              </w:rPr>
              <w:t>Service completion times, number of procedures, accessibility of information, clarity of information</w:t>
            </w:r>
          </w:p>
        </w:tc>
        <w:tc>
          <w:tcPr>
            <w:tcW w:w="0" w:type="auto"/>
            <w:hideMark/>
          </w:tcPr>
          <w:p w:rsidRPr="009D1718" w:rsidR="000E0360" w:rsidP="00832509" w:rsidRDefault="000E0360" w14:paraId="5519F55B" w14:textId="77777777">
            <w:pPr>
              <w:pStyle w:val="Para0"/>
              <w:spacing w:line="240" w:lineRule="auto"/>
              <w:jc w:val="left"/>
              <w:rPr>
                <w:sz w:val="18"/>
                <w:szCs w:val="18"/>
              </w:rPr>
            </w:pPr>
            <w:r w:rsidRPr="009D1718">
              <w:rPr>
                <w:sz w:val="18"/>
                <w:szCs w:val="18"/>
              </w:rPr>
              <w:t>Measures tangible service improvements</w:t>
            </w:r>
          </w:p>
        </w:tc>
      </w:tr>
      <w:tr w:rsidRPr="00417400" w:rsidR="000E0360" w:rsidTr="00832509" w14:paraId="5FA89183" w14:textId="77777777">
        <w:tc>
          <w:tcPr>
            <w:tcW w:w="1555" w:type="dxa"/>
            <w:hideMark/>
          </w:tcPr>
          <w:p w:rsidRPr="009D1718" w:rsidR="000E0360" w:rsidP="00832509" w:rsidRDefault="000E0360" w14:paraId="29532866" w14:textId="77777777">
            <w:pPr>
              <w:pStyle w:val="Para0"/>
              <w:spacing w:line="240" w:lineRule="auto"/>
              <w:jc w:val="left"/>
              <w:rPr>
                <w:sz w:val="18"/>
                <w:szCs w:val="18"/>
              </w:rPr>
            </w:pPr>
            <w:r w:rsidRPr="009D1718">
              <w:rPr>
                <w:b/>
                <w:bCs/>
                <w:sz w:val="18"/>
                <w:szCs w:val="18"/>
              </w:rPr>
              <w:t>Outcomes</w:t>
            </w:r>
          </w:p>
        </w:tc>
        <w:tc>
          <w:tcPr>
            <w:tcW w:w="3461" w:type="dxa"/>
            <w:hideMark/>
          </w:tcPr>
          <w:p w:rsidRPr="009D1718" w:rsidR="000E0360" w:rsidP="00832509" w:rsidRDefault="000E0360" w14:paraId="7641A426" w14:textId="77777777">
            <w:pPr>
              <w:pStyle w:val="Para0"/>
              <w:spacing w:line="240" w:lineRule="auto"/>
              <w:jc w:val="left"/>
              <w:rPr>
                <w:sz w:val="18"/>
                <w:szCs w:val="18"/>
              </w:rPr>
            </w:pPr>
            <w:r w:rsidRPr="009D1718">
              <w:rPr>
                <w:sz w:val="18"/>
                <w:szCs w:val="18"/>
              </w:rPr>
              <w:t>User satisfaction, trust, compliance, social inclusion</w:t>
            </w:r>
          </w:p>
        </w:tc>
        <w:tc>
          <w:tcPr>
            <w:tcW w:w="0" w:type="auto"/>
            <w:hideMark/>
          </w:tcPr>
          <w:p w:rsidRPr="009D1718" w:rsidR="000E0360" w:rsidP="00832509" w:rsidRDefault="000E0360" w14:paraId="4F433081" w14:textId="77777777">
            <w:pPr>
              <w:pStyle w:val="Para0"/>
              <w:spacing w:line="240" w:lineRule="auto"/>
              <w:jc w:val="left"/>
              <w:rPr>
                <w:sz w:val="18"/>
                <w:szCs w:val="18"/>
              </w:rPr>
            </w:pPr>
            <w:r w:rsidRPr="009D1718">
              <w:rPr>
                <w:sz w:val="18"/>
                <w:szCs w:val="18"/>
              </w:rPr>
              <w:t>Links simplification to long-term value and legitimacy</w:t>
            </w:r>
          </w:p>
        </w:tc>
      </w:tr>
    </w:tbl>
    <w:p w:rsidRPr="00454399" w:rsidR="003D1FB4" w:rsidP="00D84075" w:rsidRDefault="003D1FB4" w14:paraId="5CD39C83" w14:textId="4688F2CA">
      <w:pPr>
        <w:pStyle w:val="Sourcenotes"/>
      </w:pPr>
      <w:r>
        <w:t xml:space="preserve">Source: </w:t>
      </w:r>
      <w:r w:rsidR="000E0360">
        <w:t>OECD</w:t>
      </w:r>
      <w:r w:rsidR="00BB1396">
        <w:t>.</w:t>
      </w:r>
      <w:r w:rsidR="000E0360">
        <w:t xml:space="preserve"> </w:t>
      </w:r>
    </w:p>
    <w:p w:rsidR="006B35BD" w:rsidP="006B35BD" w:rsidRDefault="006B35BD" w14:paraId="271A3548" w14:textId="5E21D8AB">
      <w:pPr>
        <w:pStyle w:val="Para0"/>
        <w:rPr>
          <w:lang w:val="en-US"/>
        </w:rPr>
      </w:pPr>
      <w:r w:rsidRPr="00832509">
        <w:rPr>
          <w:b/>
          <w:bCs/>
          <w:lang w:val="en-US"/>
        </w:rPr>
        <w:t>Measurement is most critical at the process and output stages, where design choices directly affect user and administrative effort.</w:t>
      </w:r>
      <w:r>
        <w:rPr>
          <w:lang w:val="en-US"/>
        </w:rPr>
        <w:t xml:space="preserve"> However, investigating process metrics (perhaps via comparative studies) is essential to identify opportunities to innovate and apply simplification tools, whilst measurement of key outcomes will show not only if the service is delivering its intended outcomes, but also ensure simplification and burden reduction does not result in unintended consequences (e.g., eroding fairness or accountability) </w:t>
      </w:r>
      <w:sdt>
        <w:sdtPr>
          <w:rPr>
            <w:lang w:val="en-US"/>
          </w:rPr>
          <w:id w:val="-325122231"/>
          <w:citation/>
        </w:sdtPr>
        <w:sdtEndPr/>
        <w:sdtContent>
          <w:r>
            <w:rPr>
              <w:lang w:val="en-US"/>
            </w:rPr>
            <w:fldChar w:fldCharType="begin"/>
          </w:r>
          <w:r>
            <w:instrText xml:space="preserve"> CITATION OEC252 \l 2057 </w:instrText>
          </w:r>
          <w:r>
            <w:rPr>
              <w:lang w:val="en-US"/>
            </w:rPr>
            <w:fldChar w:fldCharType="separate"/>
          </w:r>
          <w:r w:rsidRPr="00F86F21" w:rsidR="00F86F21">
            <w:rPr>
              <w:noProof/>
            </w:rPr>
            <w:t>(</w:t>
          </w:r>
          <w:bookmarkStart w:name="OEC252_27" w:id="193"/>
          <w:r w:rsidRPr="00F86F21" w:rsidR="00F86F21">
            <w:rPr>
              <w:noProof/>
            </w:rPr>
            <w:t>OECD, 2025</w:t>
          </w:r>
          <w:r w:rsidRPr="00F86F21" w:rsidR="00F86F21">
            <w:rPr>
              <w:noProof/>
              <w:vertAlign w:val="subscript"/>
            </w:rPr>
            <w:t>[27]</w:t>
          </w:r>
          <w:r w:rsidRPr="00F86F21" w:rsidR="00F86F21">
            <w:rPr>
              <w:noProof/>
            </w:rPr>
            <w:t>)</w:t>
          </w:r>
          <w:bookmarkEnd w:id="193"/>
          <w:r>
            <w:rPr>
              <w:lang w:val="en-US"/>
            </w:rPr>
            <w:fldChar w:fldCharType="end"/>
          </w:r>
        </w:sdtContent>
      </w:sdt>
      <w:r>
        <w:rPr>
          <w:lang w:val="en-US"/>
        </w:rPr>
        <w:t xml:space="preserve">. </w:t>
      </w:r>
    </w:p>
    <w:p w:rsidR="006373E3" w:rsidP="006373E3" w:rsidRDefault="00AF4BB4" w14:paraId="4C68FB88" w14:textId="10240C09">
      <w:pPr>
        <w:pStyle w:val="Para0"/>
        <w:rPr>
          <w:lang w:val="en-US"/>
        </w:rPr>
      </w:pPr>
      <w:r w:rsidRPr="00832509">
        <w:rPr>
          <w:b/>
          <w:bCs/>
          <w:lang w:val="en-US"/>
        </w:rPr>
        <w:t>A</w:t>
      </w:r>
      <w:r w:rsidRPr="00832509" w:rsidR="006373E3">
        <w:rPr>
          <w:b/>
          <w:bCs/>
          <w:lang w:val="en-US"/>
        </w:rPr>
        <w:t xml:space="preserve"> Standard Cost Model </w:t>
      </w:r>
      <w:r w:rsidRPr="00832509">
        <w:rPr>
          <w:b/>
          <w:bCs/>
          <w:lang w:val="en-US"/>
        </w:rPr>
        <w:t xml:space="preserve">can be used </w:t>
      </w:r>
      <w:r w:rsidRPr="00832509" w:rsidR="006373E3">
        <w:rPr>
          <w:b/>
          <w:bCs/>
          <w:lang w:val="en-US"/>
        </w:rPr>
        <w:t>to measure the cost of complexity</w:t>
      </w:r>
      <w:r w:rsidRPr="00832509">
        <w:rPr>
          <w:b/>
          <w:bCs/>
          <w:lang w:val="en-US"/>
        </w:rPr>
        <w:t xml:space="preserve">. </w:t>
      </w:r>
      <w:r w:rsidRPr="007C1A53" w:rsidR="006373E3">
        <w:rPr>
          <w:lang w:val="en-US"/>
        </w:rPr>
        <w:t xml:space="preserve">The International Standard Cost Model (SCM), originally developed to measure administrative burdens on businesses, can be adapted to quantify </w:t>
      </w:r>
      <w:r w:rsidR="006373E3">
        <w:rPr>
          <w:lang w:val="en-US"/>
        </w:rPr>
        <w:t xml:space="preserve">the </w:t>
      </w:r>
      <w:r w:rsidRPr="007C1A53" w:rsidR="006373E3">
        <w:rPr>
          <w:lang w:val="en-US"/>
        </w:rPr>
        <w:t>burden</w:t>
      </w:r>
      <w:r w:rsidR="006373E3">
        <w:rPr>
          <w:lang w:val="en-US"/>
        </w:rPr>
        <w:t xml:space="preserve"> stemming from complexity for </w:t>
      </w:r>
      <w:r w:rsidRPr="007C1A53" w:rsidR="006373E3">
        <w:rPr>
          <w:lang w:val="en-US"/>
        </w:rPr>
        <w:t xml:space="preserve">both service users and administrators in public service design and delivery. In its traditional form, </w:t>
      </w:r>
      <w:r w:rsidRPr="00832509" w:rsidR="006373E3">
        <w:rPr>
          <w:b/>
          <w:bCs/>
          <w:lang w:val="en-US"/>
        </w:rPr>
        <w:t>the SCM measures the time and resources required to meet information obligations arising from regulation</w:t>
      </w:r>
      <w:r w:rsidRPr="007C1A53" w:rsidR="006373E3">
        <w:rPr>
          <w:lang w:val="en-US"/>
        </w:rPr>
        <w:t>. When adapted for public services, the same principle can be applied to citizen–state interactions, viewing each administrative step as an information obligation or procedural requirement that consumes time, effort, and money.</w:t>
      </w:r>
      <w:r w:rsidR="00CC188B">
        <w:rPr>
          <w:lang w:val="en-US"/>
        </w:rPr>
        <w:t xml:space="preserve"> </w:t>
      </w:r>
      <w:r w:rsidR="00CC188B">
        <w:rPr>
          <w:lang w:val="en-US"/>
        </w:rPr>
        <w:fldChar w:fldCharType="begin"/>
      </w:r>
      <w:r w:rsidR="00CC188B">
        <w:rPr>
          <w:lang w:val="en-US"/>
        </w:rPr>
        <w:instrText xml:space="preserve"> REF _Ref223413202 \h </w:instrText>
      </w:r>
      <w:r w:rsidR="00CC188B">
        <w:rPr>
          <w:lang w:val="en-US"/>
        </w:rPr>
      </w:r>
      <w:r w:rsidR="00CC188B">
        <w:rPr>
          <w:lang w:val="en-US"/>
        </w:rPr>
        <w:fldChar w:fldCharType="separate"/>
      </w:r>
      <w:r w:rsidRPr="00B44A50" w:rsidR="00543B3D">
        <w:t>Box</w:t>
      </w:r>
      <w:r w:rsidR="00543B3D">
        <w:t> </w:t>
      </w:r>
      <w:r w:rsidR="00543B3D">
        <w:rPr>
          <w:noProof/>
        </w:rPr>
        <w:t>5</w:t>
      </w:r>
      <w:r w:rsidR="00543B3D">
        <w:t>.</w:t>
      </w:r>
      <w:r w:rsidR="00543B3D">
        <w:rPr>
          <w:noProof/>
        </w:rPr>
        <w:t>3</w:t>
      </w:r>
      <w:r w:rsidR="00CC188B">
        <w:rPr>
          <w:lang w:val="en-US"/>
        </w:rPr>
        <w:fldChar w:fldCharType="end"/>
      </w:r>
      <w:r w:rsidR="00CC188B">
        <w:rPr>
          <w:lang w:val="en-US"/>
        </w:rPr>
        <w:t xml:space="preserve"> </w:t>
      </w:r>
      <w:r w:rsidRPr="00DE5AA2" w:rsidR="006373E3">
        <w:rPr>
          <w:lang w:val="en-US"/>
        </w:rPr>
        <w:t xml:space="preserve">describes the core principles of the SCM, whilst </w:t>
      </w:r>
      <w:r w:rsidR="006373E3">
        <w:rPr>
          <w:lang w:val="en-US"/>
        </w:rPr>
        <w:fldChar w:fldCharType="begin"/>
      </w:r>
      <w:r w:rsidR="006373E3">
        <w:rPr>
          <w:lang w:val="en-US"/>
        </w:rPr>
        <w:instrText xml:space="preserve"> REF _Ref215049859 \h </w:instrText>
      </w:r>
      <w:r w:rsidR="006373E3">
        <w:rPr>
          <w:lang w:val="en-US"/>
        </w:rPr>
        <w:fldChar w:fldCharType="separate"/>
      </w:r>
      <w:r w:rsidR="00543B3D">
        <w:rPr>
          <w:b/>
          <w:bCs/>
          <w:lang w:val="en-US"/>
        </w:rPr>
        <w:t>Error! Reference source not found.</w:t>
      </w:r>
      <w:r w:rsidR="006373E3">
        <w:rPr>
          <w:lang w:val="en-US"/>
        </w:rPr>
        <w:fldChar w:fldCharType="end"/>
      </w:r>
      <w:r w:rsidRPr="00DE5AA2" w:rsidR="006373E3">
        <w:rPr>
          <w:lang w:val="en-US"/>
        </w:rPr>
        <w:t xml:space="preserve"> illustrates how</w:t>
      </w:r>
      <w:r w:rsidRPr="00300405" w:rsidR="006373E3">
        <w:rPr>
          <w:lang w:val="en-US"/>
        </w:rPr>
        <w:t xml:space="preserve"> SCM categories can be linked to inputs in the service delivery chain, enabling the model to quantify not just burden but also design inefficienc</w:t>
      </w:r>
      <w:r w:rsidR="006373E3">
        <w:rPr>
          <w:lang w:val="en-US"/>
        </w:rPr>
        <w:t>ies</w:t>
      </w:r>
      <w:r w:rsidRPr="00300405" w:rsidR="006373E3">
        <w:rPr>
          <w:lang w:val="en-US"/>
        </w:rPr>
        <w:t>.</w:t>
      </w:r>
    </w:p>
    <w:p w:rsidR="006373E3" w:rsidP="006373E3" w:rsidRDefault="006373E3" w14:paraId="285F134E" w14:textId="289E3A92">
      <w:pPr>
        <w:pStyle w:val="Para0"/>
        <w:rPr>
          <w:color w:val="auto"/>
        </w:rPr>
      </w:pPr>
      <w:r w:rsidRPr="00832509">
        <w:rPr>
          <w:b/>
          <w:bCs/>
        </w:rPr>
        <w:t>By adapting the SCM to include citizen and administrative effort, governments can measure the hidden costs of bureaucracy that influence both the efficiency and experience of public service delivery.</w:t>
      </w:r>
      <w:r w:rsidRPr="003B7954">
        <w:rPr>
          <w:color w:val="auto"/>
        </w:rPr>
        <w:t xml:space="preserve"> Quantifying these costs gives an evidence base for simplification, clarifies design trade-offs, and anchors service reform in measurable improvements in time, effort, and trust.</w:t>
      </w:r>
      <w:r w:rsidR="00D42FF2">
        <w:rPr>
          <w:color w:val="auto"/>
        </w:rPr>
        <w:t xml:space="preserve"> </w:t>
      </w:r>
      <w:r>
        <w:rPr>
          <w:color w:val="auto"/>
        </w:rPr>
        <w:t xml:space="preserve">However, it is important not to rely entirely on the SCM, or quantitative metrics alone, in evaluating the effectiveness of simplification initiatives and the impact of service design and delivery choices. </w:t>
      </w:r>
      <w:r w:rsidRPr="00832509">
        <w:rPr>
          <w:b/>
          <w:bCs/>
          <w:color w:val="auto"/>
        </w:rPr>
        <w:t>Qualitative sources of data are also essential for measuring impact at each phase of design and delivery</w:t>
      </w:r>
      <w:r>
        <w:rPr>
          <w:color w:val="auto"/>
        </w:rPr>
        <w:t>, for example surveys, interviews, comparative studies. By blending quantitative measurement with qualitative insight governments can better cater to the diverse needs of citizens and businesses and the complexity of administrative processes.</w:t>
      </w:r>
    </w:p>
    <w:p w:rsidR="00516E93" w:rsidP="006373E3" w:rsidRDefault="00516E93" w14:paraId="6ADA550E" w14:textId="77777777">
      <w:pPr>
        <w:pStyle w:val="Para0"/>
        <w:rPr>
          <w:color w:val="auto"/>
        </w:rPr>
      </w:pPr>
    </w:p>
    <w:tbl>
      <w:tblPr>
        <w:tblStyle w:val="TableGrid"/>
        <w:tblW w:w="9309" w:type="dxa"/>
        <w:jc w:val="center"/>
        <w:tblBorders>
          <w:top w:val="single" w:color="4E81BD" w:themeColor="accent1" w:sz="18" w:space="0"/>
          <w:left w:val="single" w:color="4E81BD" w:themeColor="accent1" w:sz="18" w:space="0"/>
          <w:bottom w:val="single" w:color="4E81BD" w:themeColor="accent1" w:sz="18" w:space="0"/>
          <w:right w:val="single" w:color="4E81BD" w:themeColor="accent1" w:sz="18" w:space="0"/>
          <w:insideH w:val="single" w:color="4E81BD" w:themeColor="accent1" w:sz="18" w:space="0"/>
          <w:insideV w:val="single" w:color="4E81BD" w:themeColor="accent1" w:sz="18" w:space="0"/>
        </w:tblBorders>
        <w:shd w:val="clear" w:color="auto" w:fill="FFFFFF" w:themeFill="background1"/>
        <w:tblCellMar>
          <w:left w:w="142" w:type="dxa"/>
          <w:bottom w:w="142" w:type="dxa"/>
          <w:right w:w="142" w:type="dxa"/>
        </w:tblCellMar>
        <w:tblLook w:val="04A0" w:firstRow="1" w:lastRow="0" w:firstColumn="1" w:lastColumn="0" w:noHBand="0" w:noVBand="1"/>
      </w:tblPr>
      <w:tblGrid>
        <w:gridCol w:w="9309"/>
      </w:tblGrid>
      <w:tr w:rsidRPr="00E2226B" w:rsidR="00516E93" w:rsidTr="003F3C46" w14:paraId="2E6826AF" w14:textId="77777777">
        <w:trPr>
          <w:jc w:val="center"/>
        </w:trPr>
        <w:tc>
          <w:tcPr>
            <w:tcW w:w="9309" w:type="dxa"/>
            <w:tcBorders>
              <w:top w:val="single" w:color="4E81BD" w:themeColor="accent1" w:sz="4" w:space="0"/>
              <w:left w:val="single" w:color="4E81BD" w:themeColor="accent1" w:sz="4" w:space="0"/>
              <w:bottom w:val="single" w:color="4E81BD" w:themeColor="accent1" w:sz="4" w:space="0"/>
              <w:right w:val="single" w:color="4E81BD" w:themeColor="accent1" w:sz="4" w:space="0"/>
            </w:tcBorders>
            <w:shd w:val="clear" w:color="auto" w:fill="EEECE1" w:themeFill="accent3"/>
          </w:tcPr>
          <w:p w:rsidR="00516E93" w:rsidP="003F3C46" w:rsidRDefault="00516E93" w14:paraId="5ADC93FC" w14:textId="62A848AB">
            <w:pPr>
              <w:pStyle w:val="Caption"/>
            </w:pPr>
            <w:bookmarkStart w:name="_Ref223413202" w:id="194"/>
            <w:bookmarkStart w:name="_Ref215589412" w:id="195"/>
            <w:bookmarkStart w:name="_Toc223413834" w:id="196"/>
            <w:r w:rsidRPr="00B44A50">
              <w:t>Box</w:t>
            </w:r>
            <w:r>
              <w:t> </w:t>
            </w:r>
            <w:r>
              <w:rPr>
                <w:noProof/>
              </w:rPr>
              <w:fldChar w:fldCharType="begin"/>
            </w:r>
            <w:r>
              <w:rPr>
                <w:noProof/>
              </w:rPr>
              <w:instrText xml:space="preserve"> STYLEREF 1 \s </w:instrText>
            </w:r>
            <w:r>
              <w:rPr>
                <w:noProof/>
              </w:rPr>
              <w:fldChar w:fldCharType="separate"/>
            </w:r>
            <w:r w:rsidR="00543B3D">
              <w:rPr>
                <w:noProof/>
              </w:rPr>
              <w:t>5</w:t>
            </w:r>
            <w:r>
              <w:rPr>
                <w:noProof/>
              </w:rPr>
              <w:fldChar w:fldCharType="end"/>
            </w:r>
            <w:r>
              <w:t>.</w:t>
            </w:r>
            <w:r>
              <w:rPr>
                <w:noProof/>
              </w:rPr>
              <w:fldChar w:fldCharType="begin"/>
            </w:r>
            <w:r>
              <w:rPr>
                <w:noProof/>
              </w:rPr>
              <w:instrText xml:space="preserve"> SEQ Box \* ARABIC \s 1 </w:instrText>
            </w:r>
            <w:r>
              <w:rPr>
                <w:noProof/>
              </w:rPr>
              <w:fldChar w:fldCharType="separate"/>
            </w:r>
            <w:r w:rsidR="00543B3D">
              <w:rPr>
                <w:noProof/>
              </w:rPr>
              <w:t>3</w:t>
            </w:r>
            <w:r>
              <w:rPr>
                <w:noProof/>
              </w:rPr>
              <w:fldChar w:fldCharType="end"/>
            </w:r>
            <w:bookmarkEnd w:id="194"/>
            <w:r>
              <w:t>. The Standard Cost Model</w:t>
            </w:r>
            <w:bookmarkEnd w:id="195"/>
            <w:bookmarkEnd w:id="196"/>
            <w:r>
              <w:t xml:space="preserve"> </w:t>
            </w:r>
          </w:p>
          <w:p w:rsidRPr="00B4729D" w:rsidR="00516E93" w:rsidP="003F3C46" w:rsidRDefault="00516E93" w14:paraId="5B26055C" w14:textId="77777777">
            <w:pPr>
              <w:pStyle w:val="BoxHeading2"/>
            </w:pPr>
            <w:r w:rsidRPr="00B4729D">
              <w:t>How is the SCM defined?</w:t>
            </w:r>
          </w:p>
          <w:p w:rsidRPr="0046097A" w:rsidR="00516E93" w:rsidP="003F3C46" w:rsidRDefault="00516E93" w14:paraId="5CA879F4" w14:textId="77777777">
            <w:pPr>
              <w:pStyle w:val="Para0"/>
            </w:pPr>
            <w:r w:rsidRPr="0046097A">
              <w:t>At its core, the SCM expresses administrative burden as: Administrative Cost (AC) = Price × Quantity</w:t>
            </w:r>
          </w:p>
          <w:p w:rsidRPr="0046097A" w:rsidR="00516E93" w:rsidP="003F3C46" w:rsidRDefault="00516E93" w14:paraId="465B762F" w14:textId="77777777">
            <w:pPr>
              <w:pStyle w:val="Para0"/>
            </w:pPr>
            <w:r w:rsidRPr="0046097A">
              <w:t>Where:</w:t>
            </w:r>
          </w:p>
          <w:p w:rsidRPr="0046097A" w:rsidR="00516E93" w:rsidP="003F3C46" w:rsidRDefault="00516E93" w14:paraId="3DD1BC2C" w14:textId="77777777">
            <w:pPr>
              <w:pStyle w:val="BulletedList"/>
            </w:pPr>
            <w:r w:rsidRPr="0046097A">
              <w:t>Price (P) = unit cost of performing an administrative activity (usually the time × hourly cost of the person doing it).</w:t>
            </w:r>
          </w:p>
          <w:p w:rsidR="00516E93" w:rsidP="003F3C46" w:rsidRDefault="00516E93" w14:paraId="322CA852" w14:textId="77777777">
            <w:pPr>
              <w:pStyle w:val="BulletedList"/>
            </w:pPr>
            <w:r w:rsidRPr="0046097A">
              <w:t>Quantity (Q) = number of times the activity occurs annually, multiplied by the number of people or organisations affected.</w:t>
            </w:r>
          </w:p>
          <w:p w:rsidRPr="0046097A" w:rsidR="00516E93" w:rsidP="003F3C46" w:rsidRDefault="00516E93" w14:paraId="76421E70" w14:textId="77777777">
            <w:pPr>
              <w:pStyle w:val="Para0"/>
            </w:pPr>
            <w:r w:rsidRPr="0046097A">
              <w:t>In the public service context, this can be applied to both sides of the service interaction:</w:t>
            </w:r>
          </w:p>
          <w:p w:rsidRPr="0046097A" w:rsidR="00516E93" w:rsidP="003F3C46" w:rsidRDefault="00516E93" w14:paraId="6196A7EB" w14:textId="77777777">
            <w:pPr>
              <w:pStyle w:val="BulletedList"/>
            </w:pPr>
            <w:r w:rsidRPr="0046097A">
              <w:t>Users (citizens/businesses): time spent understanding, preparing, submitting, and following up on administrative requirements.</w:t>
            </w:r>
          </w:p>
          <w:p w:rsidRPr="0046097A" w:rsidR="00516E93" w:rsidP="003F3C46" w:rsidRDefault="00516E93" w14:paraId="6BB4DEAD" w14:textId="77777777">
            <w:pPr>
              <w:pStyle w:val="BulletedList"/>
            </w:pPr>
            <w:r w:rsidRPr="0046097A">
              <w:t>Administrators (civil servants): time and resources required to process, validate, and manage information obligations.</w:t>
            </w:r>
          </w:p>
          <w:p w:rsidR="00516E93" w:rsidP="003F3C46" w:rsidRDefault="00516E93" w14:paraId="14CF79CD" w14:textId="77777777">
            <w:pPr>
              <w:pStyle w:val="BoxHeading2"/>
            </w:pPr>
            <w:r>
              <w:t>Appling the model</w:t>
            </w:r>
          </w:p>
          <w:p w:rsidR="00516E93" w:rsidP="003F3C46" w:rsidRDefault="00516E93" w14:paraId="76807720" w14:textId="77777777">
            <w:pPr>
              <w:pStyle w:val="Para0"/>
            </w:pPr>
            <w:r>
              <w:t>Generally, there are 5 steps involved in applying the SCM:</w:t>
            </w:r>
          </w:p>
          <w:p w:rsidR="00516E93" w:rsidP="003F3C46" w:rsidRDefault="00516E93" w14:paraId="3966F5AB" w14:textId="77777777">
            <w:pPr>
              <w:pStyle w:val="BulletedList"/>
            </w:pPr>
            <w:r>
              <w:t>Mapping the process – Identify each administrative step from both the user’s and administrator’s perspective (e.g. applying for a birth certificate, student grant, or death registration).</w:t>
            </w:r>
          </w:p>
          <w:p w:rsidR="00516E93" w:rsidP="003F3C46" w:rsidRDefault="00516E93" w14:paraId="3DEB8274" w14:textId="77777777">
            <w:pPr>
              <w:pStyle w:val="BulletedList"/>
            </w:pPr>
            <w:r>
              <w:t>Identifying the activities and information obligations – e.g. reading instructions, providing ID, entering data, verifying eligibility, processing payment.</w:t>
            </w:r>
          </w:p>
          <w:p w:rsidR="00516E93" w:rsidP="003F3C46" w:rsidRDefault="00516E93" w14:paraId="0EF8741C" w14:textId="77777777">
            <w:pPr>
              <w:pStyle w:val="BulletedList"/>
            </w:pPr>
            <w:r>
              <w:t>Estimating time and frequency – through observation, user journey analysis, and staff logs.</w:t>
            </w:r>
          </w:p>
          <w:p w:rsidRPr="00775FF9" w:rsidR="00516E93" w:rsidP="003F3C46" w:rsidRDefault="00516E93" w14:paraId="6C8B1316" w14:textId="77777777">
            <w:pPr>
              <w:pStyle w:val="BulletedList"/>
            </w:pPr>
            <w:r>
              <w:t>Assign unit costs – using average wage rates for citizens’ opportunity cost of time and administrative staff costs.</w:t>
            </w:r>
          </w:p>
        </w:tc>
      </w:tr>
    </w:tbl>
    <w:p w:rsidR="00516E93" w:rsidP="00454399" w:rsidRDefault="00516E93" w14:paraId="09A2F9DE" w14:textId="6A809E4C">
      <w:pPr>
        <w:pStyle w:val="Caption"/>
      </w:pPr>
      <w:bookmarkStart w:name="_Toc223413790" w:id="197"/>
      <w:r>
        <w:t>Table </w:t>
      </w:r>
      <w:r>
        <w:rPr>
          <w:noProof/>
        </w:rPr>
        <w:fldChar w:fldCharType="begin"/>
      </w:r>
      <w:r>
        <w:rPr>
          <w:noProof/>
        </w:rPr>
        <w:instrText xml:space="preserve"> STYLEREF 1 \s </w:instrText>
      </w:r>
      <w:r>
        <w:rPr>
          <w:noProof/>
        </w:rPr>
        <w:fldChar w:fldCharType="separate"/>
      </w:r>
      <w:r w:rsidR="00543B3D">
        <w:rPr>
          <w:noProof/>
        </w:rPr>
        <w:t>5</w:t>
      </w:r>
      <w:r>
        <w:rPr>
          <w:noProof/>
        </w:rPr>
        <w:fldChar w:fldCharType="end"/>
      </w:r>
      <w:r>
        <w:t>.</w:t>
      </w:r>
      <w:r>
        <w:rPr>
          <w:noProof/>
        </w:rPr>
        <w:fldChar w:fldCharType="begin"/>
      </w:r>
      <w:r>
        <w:rPr>
          <w:noProof/>
        </w:rPr>
        <w:instrText xml:space="preserve"> SEQ Table \* ARABIC \s 1 </w:instrText>
      </w:r>
      <w:r>
        <w:rPr>
          <w:noProof/>
        </w:rPr>
        <w:fldChar w:fldCharType="separate"/>
      </w:r>
      <w:r w:rsidR="00543B3D">
        <w:rPr>
          <w:noProof/>
        </w:rPr>
        <w:t>2</w:t>
      </w:r>
      <w:r>
        <w:rPr>
          <w:noProof/>
        </w:rPr>
        <w:fldChar w:fldCharType="end"/>
      </w:r>
      <w:r>
        <w:t>. Relevant SCM categories in the service design context</w:t>
      </w:r>
      <w:bookmarkEnd w:id="197"/>
    </w:p>
    <w:tbl>
      <w:tblPr>
        <w:tblStyle w:val="OEC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87"/>
        <w:gridCol w:w="2881"/>
        <w:gridCol w:w="2486"/>
        <w:gridCol w:w="1834"/>
      </w:tblGrid>
      <w:tr w:rsidRPr="003D6F6C" w:rsidR="006F6C90" w:rsidTr="00832509" w14:paraId="57A44663" w14:textId="77777777">
        <w:tc>
          <w:tcPr>
            <w:tcW w:w="0" w:type="auto"/>
            <w:hideMark/>
          </w:tcPr>
          <w:p w:rsidRPr="009D1718" w:rsidR="006F6C90" w:rsidP="00832509" w:rsidRDefault="006F6C90" w14:paraId="0B4E3D2D" w14:textId="77777777">
            <w:pPr>
              <w:pStyle w:val="Para0"/>
              <w:spacing w:line="240" w:lineRule="auto"/>
              <w:jc w:val="left"/>
              <w:rPr>
                <w:b/>
                <w:bCs/>
                <w:color w:val="auto"/>
                <w:sz w:val="18"/>
                <w:szCs w:val="18"/>
              </w:rPr>
            </w:pPr>
            <w:r w:rsidRPr="009D1718">
              <w:rPr>
                <w:b/>
                <w:bCs/>
                <w:color w:val="auto"/>
                <w:sz w:val="18"/>
                <w:szCs w:val="18"/>
              </w:rPr>
              <w:t>Cost category</w:t>
            </w:r>
          </w:p>
        </w:tc>
        <w:tc>
          <w:tcPr>
            <w:tcW w:w="0" w:type="auto"/>
            <w:hideMark/>
          </w:tcPr>
          <w:p w:rsidRPr="009D1718" w:rsidR="006F6C90" w:rsidP="00832509" w:rsidRDefault="006F6C90" w14:paraId="538D8DB6" w14:textId="77777777">
            <w:pPr>
              <w:pStyle w:val="Para0"/>
              <w:spacing w:line="240" w:lineRule="auto"/>
              <w:jc w:val="left"/>
              <w:rPr>
                <w:b/>
                <w:bCs/>
                <w:color w:val="auto"/>
                <w:sz w:val="18"/>
                <w:szCs w:val="18"/>
              </w:rPr>
            </w:pPr>
            <w:r w:rsidRPr="009D1718">
              <w:rPr>
                <w:b/>
                <w:bCs/>
                <w:color w:val="auto"/>
                <w:sz w:val="18"/>
                <w:szCs w:val="18"/>
              </w:rPr>
              <w:t>Users (citizens/businesses)</w:t>
            </w:r>
          </w:p>
        </w:tc>
        <w:tc>
          <w:tcPr>
            <w:tcW w:w="0" w:type="auto"/>
            <w:hideMark/>
          </w:tcPr>
          <w:p w:rsidRPr="009D1718" w:rsidR="006F6C90" w:rsidP="00832509" w:rsidRDefault="006F6C90" w14:paraId="788258F4" w14:textId="77777777">
            <w:pPr>
              <w:pStyle w:val="Para0"/>
              <w:spacing w:line="240" w:lineRule="auto"/>
              <w:jc w:val="left"/>
              <w:rPr>
                <w:b/>
                <w:bCs/>
                <w:color w:val="auto"/>
                <w:sz w:val="18"/>
                <w:szCs w:val="18"/>
              </w:rPr>
            </w:pPr>
            <w:r w:rsidRPr="009D1718">
              <w:rPr>
                <w:b/>
                <w:bCs/>
                <w:color w:val="auto"/>
                <w:sz w:val="18"/>
                <w:szCs w:val="18"/>
              </w:rPr>
              <w:t>Administrators (public bodies)</w:t>
            </w:r>
          </w:p>
        </w:tc>
        <w:tc>
          <w:tcPr>
            <w:tcW w:w="0" w:type="auto"/>
            <w:hideMark/>
          </w:tcPr>
          <w:p w:rsidRPr="009D1718" w:rsidR="006F6C90" w:rsidP="00832509" w:rsidRDefault="006F6C90" w14:paraId="3B9B80AD" w14:textId="77777777">
            <w:pPr>
              <w:pStyle w:val="Para0"/>
              <w:spacing w:line="240" w:lineRule="auto"/>
              <w:jc w:val="left"/>
              <w:rPr>
                <w:b/>
                <w:bCs/>
                <w:color w:val="auto"/>
                <w:sz w:val="18"/>
                <w:szCs w:val="18"/>
              </w:rPr>
            </w:pPr>
            <w:r w:rsidRPr="009D1718">
              <w:rPr>
                <w:b/>
                <w:bCs/>
                <w:color w:val="auto"/>
                <w:sz w:val="18"/>
                <w:szCs w:val="18"/>
              </w:rPr>
              <w:t>Measurement indicators</w:t>
            </w:r>
          </w:p>
        </w:tc>
      </w:tr>
      <w:tr w:rsidRPr="003D6F6C" w:rsidR="006F6C90" w:rsidTr="00832509" w14:paraId="3E619A51" w14:textId="77777777">
        <w:tc>
          <w:tcPr>
            <w:tcW w:w="0" w:type="auto"/>
            <w:hideMark/>
          </w:tcPr>
          <w:p w:rsidRPr="009D1718" w:rsidR="006F6C90" w:rsidP="00832509" w:rsidRDefault="006F6C90" w14:paraId="542D2020" w14:textId="77777777">
            <w:pPr>
              <w:pStyle w:val="Para0"/>
              <w:spacing w:line="240" w:lineRule="auto"/>
              <w:jc w:val="left"/>
              <w:rPr>
                <w:color w:val="auto"/>
                <w:sz w:val="18"/>
                <w:szCs w:val="18"/>
              </w:rPr>
            </w:pPr>
            <w:r w:rsidRPr="009D1718">
              <w:rPr>
                <w:b/>
                <w:bCs/>
                <w:color w:val="auto"/>
                <w:sz w:val="18"/>
                <w:szCs w:val="18"/>
              </w:rPr>
              <w:t>Time costs</w:t>
            </w:r>
          </w:p>
        </w:tc>
        <w:tc>
          <w:tcPr>
            <w:tcW w:w="0" w:type="auto"/>
            <w:hideMark/>
          </w:tcPr>
          <w:p w:rsidRPr="009D1718" w:rsidR="006F6C90" w:rsidP="00832509" w:rsidRDefault="006F6C90" w14:paraId="6236557F" w14:textId="77777777">
            <w:pPr>
              <w:pStyle w:val="Para0"/>
              <w:spacing w:line="240" w:lineRule="auto"/>
              <w:jc w:val="left"/>
              <w:rPr>
                <w:color w:val="auto"/>
                <w:sz w:val="18"/>
                <w:szCs w:val="18"/>
              </w:rPr>
            </w:pPr>
            <w:r w:rsidRPr="009D1718">
              <w:rPr>
                <w:color w:val="auto"/>
                <w:sz w:val="18"/>
                <w:szCs w:val="18"/>
              </w:rPr>
              <w:t>Time spent understanding rules, completing forms, waiting for decisions</w:t>
            </w:r>
          </w:p>
        </w:tc>
        <w:tc>
          <w:tcPr>
            <w:tcW w:w="0" w:type="auto"/>
            <w:hideMark/>
          </w:tcPr>
          <w:p w:rsidRPr="009D1718" w:rsidR="006F6C90" w:rsidP="00832509" w:rsidRDefault="006F6C90" w14:paraId="597ADC3A" w14:textId="77777777">
            <w:pPr>
              <w:pStyle w:val="Para0"/>
              <w:spacing w:line="240" w:lineRule="auto"/>
              <w:jc w:val="left"/>
              <w:rPr>
                <w:color w:val="auto"/>
                <w:sz w:val="18"/>
                <w:szCs w:val="18"/>
              </w:rPr>
            </w:pPr>
            <w:r w:rsidRPr="009D1718">
              <w:rPr>
                <w:color w:val="auto"/>
                <w:sz w:val="18"/>
                <w:szCs w:val="18"/>
              </w:rPr>
              <w:t>Staff hours to process applications, check data, respond to queries</w:t>
            </w:r>
          </w:p>
        </w:tc>
        <w:tc>
          <w:tcPr>
            <w:tcW w:w="0" w:type="auto"/>
            <w:hideMark/>
          </w:tcPr>
          <w:p w:rsidRPr="009D1718" w:rsidR="006F6C90" w:rsidP="00832509" w:rsidRDefault="006F6C90" w14:paraId="595F76E8" w14:textId="77777777">
            <w:pPr>
              <w:pStyle w:val="Para0"/>
              <w:spacing w:line="240" w:lineRule="auto"/>
              <w:jc w:val="left"/>
              <w:rPr>
                <w:color w:val="auto"/>
                <w:sz w:val="18"/>
                <w:szCs w:val="18"/>
              </w:rPr>
            </w:pPr>
            <w:r w:rsidRPr="009D1718">
              <w:rPr>
                <w:color w:val="auto"/>
                <w:sz w:val="18"/>
                <w:szCs w:val="18"/>
              </w:rPr>
              <w:t>Average minutes × hourly wage</w:t>
            </w:r>
          </w:p>
        </w:tc>
      </w:tr>
      <w:tr w:rsidRPr="003D6F6C" w:rsidR="006F6C90" w:rsidTr="00832509" w14:paraId="69CFF4FF" w14:textId="77777777">
        <w:tc>
          <w:tcPr>
            <w:tcW w:w="0" w:type="auto"/>
            <w:hideMark/>
          </w:tcPr>
          <w:p w:rsidRPr="009D1718" w:rsidR="006F6C90" w:rsidP="00832509" w:rsidRDefault="006F6C90" w14:paraId="4169EED1" w14:textId="77777777">
            <w:pPr>
              <w:pStyle w:val="Para0"/>
              <w:spacing w:line="240" w:lineRule="auto"/>
              <w:jc w:val="left"/>
              <w:rPr>
                <w:color w:val="auto"/>
                <w:sz w:val="18"/>
                <w:szCs w:val="18"/>
              </w:rPr>
            </w:pPr>
            <w:r w:rsidRPr="009D1718">
              <w:rPr>
                <w:b/>
                <w:bCs/>
                <w:color w:val="auto"/>
                <w:sz w:val="18"/>
                <w:szCs w:val="18"/>
              </w:rPr>
              <w:t>Financial costs</w:t>
            </w:r>
          </w:p>
        </w:tc>
        <w:tc>
          <w:tcPr>
            <w:tcW w:w="0" w:type="auto"/>
            <w:hideMark/>
          </w:tcPr>
          <w:p w:rsidRPr="009D1718" w:rsidR="006F6C90" w:rsidP="00832509" w:rsidRDefault="006F6C90" w14:paraId="17FB9627" w14:textId="77777777">
            <w:pPr>
              <w:pStyle w:val="Para0"/>
              <w:spacing w:line="240" w:lineRule="auto"/>
              <w:jc w:val="left"/>
              <w:rPr>
                <w:color w:val="auto"/>
                <w:sz w:val="18"/>
                <w:szCs w:val="18"/>
              </w:rPr>
            </w:pPr>
            <w:r w:rsidRPr="009D1718">
              <w:rPr>
                <w:color w:val="auto"/>
                <w:sz w:val="18"/>
                <w:szCs w:val="18"/>
              </w:rPr>
              <w:t>Fees, postage, travel</w:t>
            </w:r>
          </w:p>
        </w:tc>
        <w:tc>
          <w:tcPr>
            <w:tcW w:w="0" w:type="auto"/>
            <w:hideMark/>
          </w:tcPr>
          <w:p w:rsidRPr="009D1718" w:rsidR="006F6C90" w:rsidP="00832509" w:rsidRDefault="006F6C90" w14:paraId="29BC21EC" w14:textId="77777777">
            <w:pPr>
              <w:pStyle w:val="Para0"/>
              <w:spacing w:line="240" w:lineRule="auto"/>
              <w:jc w:val="left"/>
              <w:rPr>
                <w:color w:val="auto"/>
                <w:sz w:val="18"/>
                <w:szCs w:val="18"/>
              </w:rPr>
            </w:pPr>
            <w:r w:rsidRPr="009D1718">
              <w:rPr>
                <w:color w:val="auto"/>
                <w:sz w:val="18"/>
                <w:szCs w:val="18"/>
              </w:rPr>
              <w:t>IT infrastructure, training, maintenance</w:t>
            </w:r>
          </w:p>
        </w:tc>
        <w:tc>
          <w:tcPr>
            <w:tcW w:w="0" w:type="auto"/>
            <w:hideMark/>
          </w:tcPr>
          <w:p w:rsidRPr="009D1718" w:rsidR="006F6C90" w:rsidP="00832509" w:rsidRDefault="006F6C90" w14:paraId="316E26B6" w14:textId="77777777">
            <w:pPr>
              <w:pStyle w:val="Para0"/>
              <w:spacing w:line="240" w:lineRule="auto"/>
              <w:jc w:val="left"/>
              <w:rPr>
                <w:color w:val="auto"/>
                <w:sz w:val="18"/>
                <w:szCs w:val="18"/>
              </w:rPr>
            </w:pPr>
            <w:r w:rsidRPr="009D1718">
              <w:rPr>
                <w:color w:val="auto"/>
                <w:sz w:val="18"/>
                <w:szCs w:val="18"/>
              </w:rPr>
              <w:t>Direct expenditure data</w:t>
            </w:r>
          </w:p>
        </w:tc>
      </w:tr>
      <w:tr w:rsidRPr="003D6F6C" w:rsidR="006F6C90" w:rsidTr="00832509" w14:paraId="0CADBE08" w14:textId="77777777">
        <w:tc>
          <w:tcPr>
            <w:tcW w:w="0" w:type="auto"/>
            <w:hideMark/>
          </w:tcPr>
          <w:p w:rsidRPr="009D1718" w:rsidR="006F6C90" w:rsidP="00832509" w:rsidRDefault="006F6C90" w14:paraId="69F6D584" w14:textId="77777777">
            <w:pPr>
              <w:pStyle w:val="Para0"/>
              <w:spacing w:line="240" w:lineRule="auto"/>
              <w:jc w:val="left"/>
              <w:rPr>
                <w:color w:val="auto"/>
                <w:sz w:val="18"/>
                <w:szCs w:val="18"/>
              </w:rPr>
            </w:pPr>
            <w:r w:rsidRPr="009D1718">
              <w:rPr>
                <w:b/>
                <w:bCs/>
                <w:color w:val="auto"/>
                <w:sz w:val="18"/>
                <w:szCs w:val="18"/>
              </w:rPr>
              <w:t>Data handling/documentation</w:t>
            </w:r>
          </w:p>
        </w:tc>
        <w:tc>
          <w:tcPr>
            <w:tcW w:w="0" w:type="auto"/>
            <w:hideMark/>
          </w:tcPr>
          <w:p w:rsidRPr="009D1718" w:rsidR="006F6C90" w:rsidP="00832509" w:rsidRDefault="006F6C90" w14:paraId="3D6A24F6" w14:textId="77777777">
            <w:pPr>
              <w:pStyle w:val="Para0"/>
              <w:spacing w:line="240" w:lineRule="auto"/>
              <w:jc w:val="left"/>
              <w:rPr>
                <w:color w:val="auto"/>
                <w:sz w:val="18"/>
                <w:szCs w:val="18"/>
              </w:rPr>
            </w:pPr>
            <w:r w:rsidRPr="009D1718">
              <w:rPr>
                <w:color w:val="auto"/>
                <w:sz w:val="18"/>
                <w:szCs w:val="18"/>
              </w:rPr>
              <w:t>Gathering supporting evidence, uploading or mailing documents</w:t>
            </w:r>
          </w:p>
        </w:tc>
        <w:tc>
          <w:tcPr>
            <w:tcW w:w="0" w:type="auto"/>
            <w:hideMark/>
          </w:tcPr>
          <w:p w:rsidRPr="009D1718" w:rsidR="006F6C90" w:rsidP="00832509" w:rsidRDefault="006F6C90" w14:paraId="2C18BC72" w14:textId="77777777">
            <w:pPr>
              <w:pStyle w:val="Para0"/>
              <w:spacing w:line="240" w:lineRule="auto"/>
              <w:jc w:val="left"/>
              <w:rPr>
                <w:color w:val="auto"/>
                <w:sz w:val="18"/>
                <w:szCs w:val="18"/>
              </w:rPr>
            </w:pPr>
            <w:r w:rsidRPr="009D1718">
              <w:rPr>
                <w:color w:val="auto"/>
                <w:sz w:val="18"/>
                <w:szCs w:val="18"/>
              </w:rPr>
              <w:t>Verification, cross-checking, re-entry, archiving</w:t>
            </w:r>
          </w:p>
        </w:tc>
        <w:tc>
          <w:tcPr>
            <w:tcW w:w="0" w:type="auto"/>
            <w:hideMark/>
          </w:tcPr>
          <w:p w:rsidRPr="009D1718" w:rsidR="006F6C90" w:rsidP="00832509" w:rsidRDefault="006F6C90" w14:paraId="4C023B67" w14:textId="77777777">
            <w:pPr>
              <w:pStyle w:val="Para0"/>
              <w:spacing w:line="240" w:lineRule="auto"/>
              <w:jc w:val="left"/>
              <w:rPr>
                <w:color w:val="auto"/>
                <w:sz w:val="18"/>
                <w:szCs w:val="18"/>
              </w:rPr>
            </w:pPr>
            <w:r w:rsidRPr="009D1718">
              <w:rPr>
                <w:color w:val="auto"/>
                <w:sz w:val="18"/>
                <w:szCs w:val="18"/>
              </w:rPr>
              <w:t>No. of records, systems, or rekeying steps</w:t>
            </w:r>
          </w:p>
        </w:tc>
      </w:tr>
      <w:tr w:rsidRPr="003D6F6C" w:rsidR="006F6C90" w:rsidTr="00832509" w14:paraId="7548E8F0" w14:textId="77777777">
        <w:tc>
          <w:tcPr>
            <w:tcW w:w="0" w:type="auto"/>
            <w:hideMark/>
          </w:tcPr>
          <w:p w:rsidRPr="009D1718" w:rsidR="006F6C90" w:rsidP="00832509" w:rsidRDefault="006F6C90" w14:paraId="005FE3B2" w14:textId="77777777">
            <w:pPr>
              <w:pStyle w:val="Para0"/>
              <w:spacing w:line="240" w:lineRule="auto"/>
              <w:jc w:val="left"/>
              <w:rPr>
                <w:color w:val="auto"/>
                <w:sz w:val="18"/>
                <w:szCs w:val="18"/>
              </w:rPr>
            </w:pPr>
            <w:r w:rsidRPr="009D1718">
              <w:rPr>
                <w:b/>
                <w:bCs/>
                <w:color w:val="auto"/>
                <w:sz w:val="18"/>
                <w:szCs w:val="18"/>
              </w:rPr>
              <w:t>Learning and adaptation costs</w:t>
            </w:r>
          </w:p>
        </w:tc>
        <w:tc>
          <w:tcPr>
            <w:tcW w:w="0" w:type="auto"/>
            <w:hideMark/>
          </w:tcPr>
          <w:p w:rsidRPr="009D1718" w:rsidR="006F6C90" w:rsidP="00832509" w:rsidRDefault="006F6C90" w14:paraId="79AECC46" w14:textId="77777777">
            <w:pPr>
              <w:pStyle w:val="Para0"/>
              <w:spacing w:line="240" w:lineRule="auto"/>
              <w:jc w:val="left"/>
              <w:rPr>
                <w:color w:val="auto"/>
                <w:sz w:val="18"/>
                <w:szCs w:val="18"/>
              </w:rPr>
            </w:pPr>
            <w:r w:rsidRPr="009D1718">
              <w:rPr>
                <w:color w:val="auto"/>
                <w:sz w:val="18"/>
                <w:szCs w:val="18"/>
              </w:rPr>
              <w:t>Understanding eligibility, rules, system interfaces</w:t>
            </w:r>
          </w:p>
        </w:tc>
        <w:tc>
          <w:tcPr>
            <w:tcW w:w="0" w:type="auto"/>
            <w:hideMark/>
          </w:tcPr>
          <w:p w:rsidRPr="009D1718" w:rsidR="006F6C90" w:rsidP="00832509" w:rsidRDefault="006F6C90" w14:paraId="41DF8481" w14:textId="77777777">
            <w:pPr>
              <w:pStyle w:val="Para0"/>
              <w:spacing w:line="240" w:lineRule="auto"/>
              <w:jc w:val="left"/>
              <w:rPr>
                <w:color w:val="auto"/>
                <w:sz w:val="18"/>
                <w:szCs w:val="18"/>
              </w:rPr>
            </w:pPr>
            <w:r w:rsidRPr="009D1718">
              <w:rPr>
                <w:color w:val="auto"/>
                <w:sz w:val="18"/>
                <w:szCs w:val="18"/>
              </w:rPr>
              <w:t>Staff familiarisation with new tools/processes</w:t>
            </w:r>
          </w:p>
        </w:tc>
        <w:tc>
          <w:tcPr>
            <w:tcW w:w="0" w:type="auto"/>
            <w:hideMark/>
          </w:tcPr>
          <w:p w:rsidRPr="009D1718" w:rsidR="006F6C90" w:rsidP="00832509" w:rsidRDefault="006F6C90" w14:paraId="36EB2075" w14:textId="77777777">
            <w:pPr>
              <w:pStyle w:val="Para0"/>
              <w:spacing w:line="240" w:lineRule="auto"/>
              <w:jc w:val="left"/>
              <w:rPr>
                <w:color w:val="auto"/>
                <w:sz w:val="18"/>
                <w:szCs w:val="18"/>
              </w:rPr>
            </w:pPr>
            <w:r w:rsidRPr="009D1718">
              <w:rPr>
                <w:color w:val="auto"/>
                <w:sz w:val="18"/>
                <w:szCs w:val="18"/>
              </w:rPr>
              <w:t>Survey or observation</w:t>
            </w:r>
          </w:p>
        </w:tc>
      </w:tr>
      <w:tr w:rsidRPr="003D6F6C" w:rsidR="006F6C90" w:rsidTr="00832509" w14:paraId="235D7765" w14:textId="77777777">
        <w:tc>
          <w:tcPr>
            <w:tcW w:w="0" w:type="auto"/>
            <w:hideMark/>
          </w:tcPr>
          <w:p w:rsidRPr="009D1718" w:rsidR="006F6C90" w:rsidP="00832509" w:rsidRDefault="006F6C90" w14:paraId="091D477C" w14:textId="77777777">
            <w:pPr>
              <w:pStyle w:val="Para0"/>
              <w:spacing w:line="240" w:lineRule="auto"/>
              <w:jc w:val="left"/>
              <w:rPr>
                <w:color w:val="auto"/>
                <w:sz w:val="18"/>
                <w:szCs w:val="18"/>
              </w:rPr>
            </w:pPr>
            <w:r w:rsidRPr="009D1718">
              <w:rPr>
                <w:b/>
                <w:bCs/>
                <w:color w:val="auto"/>
                <w:sz w:val="18"/>
                <w:szCs w:val="18"/>
              </w:rPr>
              <w:t>Error and rework costs</w:t>
            </w:r>
          </w:p>
        </w:tc>
        <w:tc>
          <w:tcPr>
            <w:tcW w:w="0" w:type="auto"/>
            <w:hideMark/>
          </w:tcPr>
          <w:p w:rsidRPr="009D1718" w:rsidR="006F6C90" w:rsidP="00832509" w:rsidRDefault="006F6C90" w14:paraId="434C231C" w14:textId="77777777">
            <w:pPr>
              <w:pStyle w:val="Para0"/>
              <w:spacing w:line="240" w:lineRule="auto"/>
              <w:jc w:val="left"/>
              <w:rPr>
                <w:color w:val="auto"/>
                <w:sz w:val="18"/>
                <w:szCs w:val="18"/>
              </w:rPr>
            </w:pPr>
            <w:r w:rsidRPr="009D1718">
              <w:rPr>
                <w:color w:val="auto"/>
                <w:sz w:val="18"/>
                <w:szCs w:val="18"/>
              </w:rPr>
              <w:t>Resubmission or correction</w:t>
            </w:r>
          </w:p>
        </w:tc>
        <w:tc>
          <w:tcPr>
            <w:tcW w:w="0" w:type="auto"/>
            <w:hideMark/>
          </w:tcPr>
          <w:p w:rsidRPr="009D1718" w:rsidR="006F6C90" w:rsidP="00832509" w:rsidRDefault="006F6C90" w14:paraId="5AEBB273" w14:textId="77777777">
            <w:pPr>
              <w:pStyle w:val="Para0"/>
              <w:spacing w:line="240" w:lineRule="auto"/>
              <w:jc w:val="left"/>
              <w:rPr>
                <w:color w:val="auto"/>
                <w:sz w:val="18"/>
                <w:szCs w:val="18"/>
              </w:rPr>
            </w:pPr>
            <w:r w:rsidRPr="009D1718">
              <w:rPr>
                <w:color w:val="auto"/>
                <w:sz w:val="18"/>
                <w:szCs w:val="18"/>
              </w:rPr>
              <w:t>Duplicate work, complaint handling</w:t>
            </w:r>
          </w:p>
        </w:tc>
        <w:tc>
          <w:tcPr>
            <w:tcW w:w="0" w:type="auto"/>
            <w:hideMark/>
          </w:tcPr>
          <w:p w:rsidRPr="009D1718" w:rsidR="006F6C90" w:rsidP="00832509" w:rsidRDefault="006F6C90" w14:paraId="1F29D858" w14:textId="77777777">
            <w:pPr>
              <w:pStyle w:val="Para0"/>
              <w:spacing w:line="240" w:lineRule="auto"/>
              <w:jc w:val="left"/>
              <w:rPr>
                <w:color w:val="auto"/>
                <w:sz w:val="18"/>
                <w:szCs w:val="18"/>
              </w:rPr>
            </w:pPr>
            <w:r w:rsidRPr="009D1718">
              <w:rPr>
                <w:color w:val="auto"/>
                <w:sz w:val="18"/>
                <w:szCs w:val="18"/>
              </w:rPr>
              <w:t>% of cases requiring rework</w:t>
            </w:r>
          </w:p>
        </w:tc>
      </w:tr>
    </w:tbl>
    <w:p w:rsidRPr="00D90B82" w:rsidR="00516E93" w:rsidP="006373E3" w:rsidRDefault="00516E93" w14:paraId="083ECDC2" w14:textId="77777777">
      <w:pPr>
        <w:pStyle w:val="Para0"/>
        <w:rPr>
          <w:color w:val="auto"/>
          <w:lang w:val="en-US"/>
        </w:rPr>
      </w:pPr>
    </w:p>
    <w:bookmarkStart w:name="_Toc223413746" w:displacedByCustomXml="next" w:id="198"/>
    <w:sdt>
      <w:sdtPr>
        <w:id w:val="-1521619114"/>
        <w:docPartObj>
          <w:docPartGallery w:val="Bibliographies"/>
          <w:docPartUnique/>
        </w:docPartObj>
        <w:rPr>
          <w:rFonts w:ascii="Arial" w:hAnsi="Arial" w:eastAsia="" w:cs="" w:asciiTheme="minorAscii" w:hAnsiTheme="minorAscii" w:eastAsiaTheme="minorEastAsia" w:cstheme="minorBidi"/>
          <w:b w:val="0"/>
          <w:bCs w:val="0"/>
          <w:color w:val="auto"/>
          <w:sz w:val="22"/>
          <w:szCs w:val="22"/>
        </w:rPr>
      </w:sdtPr>
      <w:sdtEndPr>
        <w:rPr>
          <w:rFonts w:ascii="Arial" w:hAnsi="Arial" w:eastAsia="" w:cs="" w:asciiTheme="minorAscii" w:hAnsiTheme="minorAscii" w:eastAsiaTheme="minorEastAsia" w:cstheme="minorBidi"/>
          <w:b w:val="0"/>
          <w:bCs w:val="0"/>
          <w:color w:val="auto"/>
          <w:sz w:val="22"/>
          <w:szCs w:val="22"/>
        </w:rPr>
      </w:sdtEndPr>
      <w:sdtContent>
        <w:p w:rsidR="00DE0107" w:rsidRDefault="00DE0107" w14:paraId="69892CC1" w14:textId="01591C82">
          <w:pPr>
            <w:pStyle w:val="Title"/>
          </w:pPr>
          <w:r>
            <w:t>References</w:t>
          </w:r>
          <w:bookmarkEnd w:id="198"/>
        </w:p>
        <w:sdt>
          <w:sdtPr>
            <w:id w:val="1336032325"/>
            <w:bibliography/>
          </w:sdtPr>
          <w:sdtEndPr/>
          <w:sdtContent>
            <w:p w:rsidR="00F86F21" w:rsidRDefault="00DE0107" w14:paraId="7302ABF9" w14:textId="77777777">
              <w:pPr>
                <w:rPr>
                  <w:noProof/>
                </w:rPr>
              </w:pPr>
              <w:r>
                <w:fldChar w:fldCharType="begin"/>
              </w:r>
              <w:r>
                <w:instrText xml:space="preserve"> BIBLIOGRAPHY </w:instrText>
              </w:r>
              <w:r>
                <w:fldChar w:fldCharType="separate"/>
              </w:r>
            </w:p>
            <w:tbl>
              <w:tblPr>
                <w:tblW w:w="4880" w:type="pct"/>
                <w:tblInd w:w="60" w:type="dxa"/>
                <w:tblCellMar>
                  <w:top w:w="60" w:type="dxa"/>
                  <w:left w:w="60" w:type="dxa"/>
                  <w:bottom w:w="60" w:type="dxa"/>
                  <w:right w:w="60" w:type="dxa"/>
                </w:tblCellMar>
                <w:tblLook w:val="04A0" w:firstRow="1" w:lastRow="0" w:firstColumn="1" w:lastColumn="0" w:noHBand="0" w:noVBand="1"/>
              </w:tblPr>
              <w:tblGrid>
                <w:gridCol w:w="8963"/>
                <w:gridCol w:w="275"/>
              </w:tblGrid>
              <w:tr w:rsidR="00F86F21" w14:paraId="0B41279B" w14:textId="77777777">
                <w:trPr>
                  <w:divId w:val="489105986"/>
                </w:trPr>
                <w:tc>
                  <w:tcPr>
                    <w:tcW w:w="0" w:type="auto"/>
                    <w:hideMark/>
                  </w:tcPr>
                  <w:p w:rsidR="00F86F21" w:rsidRDefault="00F86F21" w14:paraId="3FDBF5AD" w14:textId="45A8AD06">
                    <w:pPr>
                      <w:pStyle w:val="Bibliography"/>
                      <w:rPr>
                        <w:noProof/>
                        <w:sz w:val="24"/>
                        <w:szCs w:val="24"/>
                      </w:rPr>
                    </w:pPr>
                    <w:r>
                      <w:rPr>
                        <w:noProof/>
                      </w:rPr>
                      <w:t xml:space="preserve">(n.a.) (n.d.), </w:t>
                    </w:r>
                    <w:r>
                      <w:rPr>
                        <w:i/>
                        <w:iCs/>
                        <w:noProof/>
                      </w:rPr>
                      <w:t>OECD Legal Instruments</w:t>
                    </w:r>
                    <w:r>
                      <w:rPr>
                        <w:noProof/>
                      </w:rPr>
                      <w:t xml:space="preserve">, </w:t>
                    </w:r>
                    <w:r>
                      <w:rPr>
                        <w:noProof/>
                        <w:color w:val="0000FF"/>
                        <w:u w:val="single"/>
                      </w:rPr>
                      <w:t>https://legalinstruments.oecd.org/en/instruments/OECD-LEGAL-0503</w:t>
                    </w:r>
                    <w:r>
                      <w:rPr>
                        <w:noProof/>
                      </w:rPr>
                      <w:t xml:space="preserve"> (accessed on 23 October 2025).</w:t>
                    </w:r>
                  </w:p>
                </w:tc>
                <w:tc>
                  <w:tcPr>
                    <w:tcW w:w="600" w:type="dxa"/>
                    <w:noWrap/>
                    <w:hideMark/>
                  </w:tcPr>
                  <w:p w:rsidR="00F86F21" w:rsidRDefault="00F86F21" w14:paraId="746CC151" w14:textId="77777777">
                    <w:pPr>
                      <w:spacing w:before="100" w:beforeAutospacing="1" w:after="100" w:afterAutospacing="1"/>
                      <w:jc w:val="right"/>
                      <w:rPr>
                        <w:noProof/>
                      </w:rPr>
                    </w:pPr>
                    <w:r>
                      <w:rPr>
                        <w:noProof/>
                        <w:color w:val="000000"/>
                        <w:sz w:val="16"/>
                        <w:szCs w:val="16"/>
                      </w:rPr>
                      <w:t>[28]</w:t>
                    </w:r>
                  </w:p>
                </w:tc>
              </w:tr>
              <w:tr w:rsidR="00F86F21" w14:paraId="7A5A0CE8" w14:textId="77777777">
                <w:trPr>
                  <w:divId w:val="489105986"/>
                </w:trPr>
                <w:tc>
                  <w:tcPr>
                    <w:tcW w:w="0" w:type="auto"/>
                    <w:hideMark/>
                  </w:tcPr>
                  <w:p w:rsidR="00F86F21" w:rsidRDefault="00F86F21" w14:paraId="5D991D6E" w14:textId="77777777">
                    <w:pPr>
                      <w:pStyle w:val="Bibliography"/>
                      <w:rPr>
                        <w:noProof/>
                      </w:rPr>
                    </w:pPr>
                    <w:r>
                      <w:rPr>
                        <w:noProof/>
                      </w:rPr>
                      <w:t xml:space="preserve">(n.a.) (n.d.), </w:t>
                    </w:r>
                    <w:r>
                      <w:rPr>
                        <w:i/>
                        <w:iCs/>
                        <w:noProof/>
                      </w:rPr>
                      <w:t>OECD Legal Instruments</w:t>
                    </w:r>
                    <w:r>
                      <w:rPr>
                        <w:noProof/>
                      </w:rPr>
                      <w:t xml:space="preserve">, </w:t>
                    </w:r>
                    <w:r>
                      <w:rPr>
                        <w:noProof/>
                        <w:color w:val="0000FF"/>
                        <w:u w:val="single"/>
                      </w:rPr>
                      <w:t>https://legalinstruments.oecd.org/en/instruments/OECD-LEGAL-0503</w:t>
                    </w:r>
                    <w:r>
                      <w:rPr>
                        <w:noProof/>
                      </w:rPr>
                      <w:t xml:space="preserve"> (accessed on 18 November 2025).</w:t>
                    </w:r>
                  </w:p>
                </w:tc>
                <w:tc>
                  <w:tcPr>
                    <w:tcW w:w="600" w:type="dxa"/>
                    <w:noWrap/>
                    <w:hideMark/>
                  </w:tcPr>
                  <w:p w:rsidR="00F86F21" w:rsidRDefault="00F86F21" w14:paraId="560AE0AC" w14:textId="77777777">
                    <w:pPr>
                      <w:spacing w:before="100" w:beforeAutospacing="1" w:after="100" w:afterAutospacing="1"/>
                      <w:jc w:val="right"/>
                      <w:rPr>
                        <w:noProof/>
                      </w:rPr>
                    </w:pPr>
                    <w:r>
                      <w:rPr>
                        <w:noProof/>
                        <w:color w:val="000000"/>
                        <w:sz w:val="16"/>
                        <w:szCs w:val="16"/>
                      </w:rPr>
                      <w:t>[29]</w:t>
                    </w:r>
                  </w:p>
                </w:tc>
              </w:tr>
              <w:tr w:rsidR="00F86F21" w14:paraId="5CB3771A" w14:textId="77777777">
                <w:trPr>
                  <w:divId w:val="489105986"/>
                </w:trPr>
                <w:tc>
                  <w:tcPr>
                    <w:tcW w:w="0" w:type="auto"/>
                    <w:hideMark/>
                  </w:tcPr>
                  <w:p w:rsidR="00F86F21" w:rsidRDefault="00F86F21" w14:paraId="6BAE2C18" w14:textId="77777777">
                    <w:pPr>
                      <w:pStyle w:val="Bibliography"/>
                      <w:rPr>
                        <w:noProof/>
                      </w:rPr>
                    </w:pPr>
                    <w:r>
                      <w:rPr>
                        <w:noProof/>
                      </w:rPr>
                      <w:t xml:space="preserve">(n.a.) (n.d.), </w:t>
                    </w:r>
                    <w:r>
                      <w:rPr>
                        <w:i/>
                        <w:iCs/>
                        <w:noProof/>
                      </w:rPr>
                      <w:t>Staff working document on the policy programme: a path to the digital decade | Shaping Europe’s digital future</w:t>
                    </w:r>
                    <w:r>
                      <w:rPr>
                        <w:noProof/>
                      </w:rPr>
                      <w:t xml:space="preserve">, </w:t>
                    </w:r>
                    <w:r>
                      <w:rPr>
                        <w:noProof/>
                        <w:color w:val="0000FF"/>
                        <w:u w:val="single"/>
                      </w:rPr>
                      <w:t>https://digital-strategy.ec.europa.eu/en/library/staff-working-document-policy-programme-path-digital-decade</w:t>
                    </w:r>
                    <w:r>
                      <w:rPr>
                        <w:noProof/>
                      </w:rPr>
                      <w:t xml:space="preserve"> (accessed on 28 November 2025).</w:t>
                    </w:r>
                  </w:p>
                </w:tc>
                <w:tc>
                  <w:tcPr>
                    <w:tcW w:w="600" w:type="dxa"/>
                    <w:noWrap/>
                    <w:hideMark/>
                  </w:tcPr>
                  <w:p w:rsidR="00F86F21" w:rsidRDefault="00F86F21" w14:paraId="13DE92D3" w14:textId="77777777">
                    <w:pPr>
                      <w:spacing w:before="100" w:beforeAutospacing="1" w:after="100" w:afterAutospacing="1"/>
                      <w:jc w:val="right"/>
                      <w:rPr>
                        <w:noProof/>
                      </w:rPr>
                    </w:pPr>
                    <w:r>
                      <w:rPr>
                        <w:noProof/>
                        <w:color w:val="000000"/>
                        <w:sz w:val="16"/>
                        <w:szCs w:val="16"/>
                      </w:rPr>
                      <w:t>[30]</w:t>
                    </w:r>
                  </w:p>
                </w:tc>
              </w:tr>
              <w:tr w:rsidR="00F86F21" w14:paraId="642B9950" w14:textId="77777777">
                <w:trPr>
                  <w:divId w:val="489105986"/>
                </w:trPr>
                <w:tc>
                  <w:tcPr>
                    <w:tcW w:w="0" w:type="auto"/>
                    <w:hideMark/>
                  </w:tcPr>
                  <w:p w:rsidR="00F86F21" w:rsidRDefault="00F86F21" w14:paraId="6BED011A" w14:textId="77777777">
                    <w:pPr>
                      <w:pStyle w:val="Bibliography"/>
                      <w:rPr>
                        <w:noProof/>
                      </w:rPr>
                    </w:pPr>
                    <w:r>
                      <w:rPr>
                        <w:noProof/>
                      </w:rPr>
                      <w:t xml:space="preserve">Cabinet of Ministers (2024), </w:t>
                    </w:r>
                    <w:r>
                      <w:rPr>
                        <w:i/>
                        <w:iCs/>
                        <w:noProof/>
                      </w:rPr>
                      <w:t>National Development Plan of Latvia for 2021-2027</w:t>
                    </w:r>
                    <w:r>
                      <w:rPr>
                        <w:noProof/>
                      </w:rPr>
                      <w:t xml:space="preserve">, </w:t>
                    </w:r>
                    <w:r>
                      <w:rPr>
                        <w:noProof/>
                        <w:color w:val="0000FF"/>
                        <w:u w:val="single"/>
                      </w:rPr>
                      <w:t>https://www.mk.gov.lv/lv/latvijas-nacionalais-attistibas-plans#:~:text=Nacion%C4%81lais%20att%C4%ABst%C4%ABbas%20pl%C4%81ns%20nosaka%20liel%C4%81kos%20valsts%20bud%C5%BEeta%20ieguld%C4%ABjumus,virzienus%2C%20k%C4%81%20ar%C4%AB%20pl%C4%81not%C4%81s%20reformas%20un%20politikas%20izmai%C5%86as.</w:t>
                    </w:r>
                  </w:p>
                </w:tc>
                <w:tc>
                  <w:tcPr>
                    <w:tcW w:w="600" w:type="dxa"/>
                    <w:noWrap/>
                    <w:hideMark/>
                  </w:tcPr>
                  <w:p w:rsidR="00F86F21" w:rsidRDefault="00F86F21" w14:paraId="7E50286B" w14:textId="77777777">
                    <w:pPr>
                      <w:spacing w:before="100" w:beforeAutospacing="1" w:after="100" w:afterAutospacing="1"/>
                      <w:jc w:val="right"/>
                      <w:rPr>
                        <w:noProof/>
                      </w:rPr>
                    </w:pPr>
                    <w:r>
                      <w:rPr>
                        <w:noProof/>
                        <w:color w:val="000000"/>
                        <w:sz w:val="16"/>
                        <w:szCs w:val="16"/>
                      </w:rPr>
                      <w:t>[26]</w:t>
                    </w:r>
                  </w:p>
                </w:tc>
              </w:tr>
              <w:tr w:rsidR="00F86F21" w14:paraId="2417C92B" w14:textId="77777777">
                <w:trPr>
                  <w:divId w:val="489105986"/>
                </w:trPr>
                <w:tc>
                  <w:tcPr>
                    <w:tcW w:w="0" w:type="auto"/>
                    <w:hideMark/>
                  </w:tcPr>
                  <w:p w:rsidR="00F86F21" w:rsidRDefault="00F86F21" w14:paraId="77A5896C" w14:textId="77777777">
                    <w:pPr>
                      <w:pStyle w:val="Bibliography"/>
                      <w:rPr>
                        <w:noProof/>
                      </w:rPr>
                    </w:pPr>
                    <w:r>
                      <w:rPr>
                        <w:noProof/>
                      </w:rPr>
                      <w:t xml:space="preserve">Department of Public Expenditure, I. (2025), </w:t>
                    </w:r>
                    <w:r>
                      <w:rPr>
                        <w:i/>
                        <w:iCs/>
                        <w:noProof/>
                      </w:rPr>
                      <w:t>Better Public Services: Service Design Resources</w:t>
                    </w:r>
                    <w:r>
                      <w:rPr>
                        <w:noProof/>
                      </w:rPr>
                      <w:t xml:space="preserve">, </w:t>
                    </w:r>
                    <w:r>
                      <w:rPr>
                        <w:noProof/>
                        <w:color w:val="0000FF"/>
                        <w:u w:val="single"/>
                      </w:rPr>
                      <w:t>https://www.gov.ie/en/department-of-public-expenditure-infrastructure-public-service-reform-and-digitalisation/publications/better-public-services-service-design-resources/</w:t>
                    </w:r>
                    <w:r>
                      <w:rPr>
                        <w:noProof/>
                      </w:rPr>
                      <w:t>.</w:t>
                    </w:r>
                  </w:p>
                </w:tc>
                <w:tc>
                  <w:tcPr>
                    <w:tcW w:w="600" w:type="dxa"/>
                    <w:noWrap/>
                    <w:hideMark/>
                  </w:tcPr>
                  <w:p w:rsidR="00F86F21" w:rsidRDefault="00F86F21" w14:paraId="2495DBA3" w14:textId="77777777">
                    <w:pPr>
                      <w:spacing w:before="100" w:beforeAutospacing="1" w:after="100" w:afterAutospacing="1"/>
                      <w:jc w:val="right"/>
                      <w:rPr>
                        <w:noProof/>
                      </w:rPr>
                    </w:pPr>
                    <w:r>
                      <w:rPr>
                        <w:noProof/>
                        <w:color w:val="000000"/>
                        <w:sz w:val="16"/>
                        <w:szCs w:val="16"/>
                      </w:rPr>
                      <w:t>[8]</w:t>
                    </w:r>
                  </w:p>
                </w:tc>
              </w:tr>
              <w:tr w:rsidR="00F86F21" w14:paraId="08237700" w14:textId="77777777">
                <w:trPr>
                  <w:divId w:val="489105986"/>
                </w:trPr>
                <w:tc>
                  <w:tcPr>
                    <w:tcW w:w="0" w:type="auto"/>
                    <w:hideMark/>
                  </w:tcPr>
                  <w:p w:rsidR="00F86F21" w:rsidRDefault="00F86F21" w14:paraId="3F8D3F01" w14:textId="77777777">
                    <w:pPr>
                      <w:pStyle w:val="Bibliography"/>
                      <w:rPr>
                        <w:noProof/>
                      </w:rPr>
                    </w:pPr>
                    <w:r>
                      <w:rPr>
                        <w:noProof/>
                      </w:rPr>
                      <w:t xml:space="preserve">Digital Austria (2025), </w:t>
                    </w:r>
                    <w:r>
                      <w:rPr>
                        <w:i/>
                        <w:iCs/>
                        <w:noProof/>
                      </w:rPr>
                      <w:t>Committee of the Federal Government, the Länder, Cities and Municipalities (BLSG) and the ICT Federation</w:t>
                    </w:r>
                    <w:r>
                      <w:rPr>
                        <w:noProof/>
                      </w:rPr>
                      <w:t xml:space="preserve">, </w:t>
                    </w:r>
                    <w:r>
                      <w:rPr>
                        <w:noProof/>
                        <w:color w:val="0000FF"/>
                        <w:u w:val="single"/>
                      </w:rPr>
                      <w:t>https://www.digitalaustria.gv.at/verwaltung/gremien/gremium-bund-laender-staedte-und-gemeinden.html</w:t>
                    </w:r>
                    <w:r>
                      <w:rPr>
                        <w:noProof/>
                      </w:rPr>
                      <w:t>.</w:t>
                    </w:r>
                  </w:p>
                </w:tc>
                <w:tc>
                  <w:tcPr>
                    <w:tcW w:w="600" w:type="dxa"/>
                    <w:noWrap/>
                    <w:hideMark/>
                  </w:tcPr>
                  <w:p w:rsidR="00F86F21" w:rsidRDefault="00F86F21" w14:paraId="28B6CEAC" w14:textId="77777777">
                    <w:pPr>
                      <w:spacing w:before="100" w:beforeAutospacing="1" w:after="100" w:afterAutospacing="1"/>
                      <w:jc w:val="right"/>
                      <w:rPr>
                        <w:noProof/>
                      </w:rPr>
                    </w:pPr>
                    <w:r>
                      <w:rPr>
                        <w:noProof/>
                        <w:color w:val="000000"/>
                        <w:sz w:val="16"/>
                        <w:szCs w:val="16"/>
                      </w:rPr>
                      <w:t>[18]</w:t>
                    </w:r>
                  </w:p>
                </w:tc>
              </w:tr>
              <w:tr w:rsidR="00F86F21" w14:paraId="3B67350C" w14:textId="77777777">
                <w:trPr>
                  <w:divId w:val="489105986"/>
                </w:trPr>
                <w:tc>
                  <w:tcPr>
                    <w:tcW w:w="0" w:type="auto"/>
                    <w:hideMark/>
                  </w:tcPr>
                  <w:p w:rsidR="00F86F21" w:rsidRDefault="00F86F21" w14:paraId="5398FEA9" w14:textId="77777777">
                    <w:pPr>
                      <w:pStyle w:val="Bibliography"/>
                      <w:rPr>
                        <w:noProof/>
                      </w:rPr>
                    </w:pPr>
                    <w:r>
                      <w:rPr>
                        <w:noProof/>
                      </w:rPr>
                      <w:t>European Commission (2022), “DECISION (EU) 2022/2481 OF THE EUROPEAN PARLIAMENT AND OF THE COUNCIL of 14 December 2022 establishing the Digital Decade Policy Programme 2030”.</w:t>
                    </w:r>
                  </w:p>
                </w:tc>
                <w:tc>
                  <w:tcPr>
                    <w:tcW w:w="600" w:type="dxa"/>
                    <w:noWrap/>
                    <w:hideMark/>
                  </w:tcPr>
                  <w:p w:rsidR="00F86F21" w:rsidRDefault="00F86F21" w14:paraId="2F6E740F" w14:textId="77777777">
                    <w:pPr>
                      <w:spacing w:before="100" w:beforeAutospacing="1" w:after="100" w:afterAutospacing="1"/>
                      <w:jc w:val="right"/>
                      <w:rPr>
                        <w:noProof/>
                      </w:rPr>
                    </w:pPr>
                    <w:r>
                      <w:rPr>
                        <w:noProof/>
                        <w:color w:val="000000"/>
                        <w:sz w:val="16"/>
                        <w:szCs w:val="16"/>
                      </w:rPr>
                      <w:t>[31]</w:t>
                    </w:r>
                  </w:p>
                </w:tc>
              </w:tr>
              <w:tr w:rsidR="00F86F21" w14:paraId="3846C7BE" w14:textId="77777777">
                <w:trPr>
                  <w:divId w:val="489105986"/>
                </w:trPr>
                <w:tc>
                  <w:tcPr>
                    <w:tcW w:w="0" w:type="auto"/>
                    <w:hideMark/>
                  </w:tcPr>
                  <w:p w:rsidR="00F86F21" w:rsidRDefault="00F86F21" w14:paraId="016ADFC9" w14:textId="77777777">
                    <w:pPr>
                      <w:pStyle w:val="Bibliography"/>
                      <w:rPr>
                        <w:noProof/>
                      </w:rPr>
                    </w:pPr>
                    <w:r>
                      <w:rPr>
                        <w:noProof/>
                      </w:rPr>
                      <w:t>European Commission (2021), “Staff working document on the policy programme: a path to the digital decade”.</w:t>
                    </w:r>
                  </w:p>
                </w:tc>
                <w:tc>
                  <w:tcPr>
                    <w:tcW w:w="600" w:type="dxa"/>
                    <w:noWrap/>
                    <w:hideMark/>
                  </w:tcPr>
                  <w:p w:rsidR="00F86F21" w:rsidRDefault="00F86F21" w14:paraId="7C17CE00" w14:textId="77777777">
                    <w:pPr>
                      <w:spacing w:before="100" w:beforeAutospacing="1" w:after="100" w:afterAutospacing="1"/>
                      <w:jc w:val="right"/>
                      <w:rPr>
                        <w:noProof/>
                      </w:rPr>
                    </w:pPr>
                    <w:r>
                      <w:rPr>
                        <w:noProof/>
                        <w:color w:val="000000"/>
                        <w:sz w:val="16"/>
                        <w:szCs w:val="16"/>
                      </w:rPr>
                      <w:t>[14]</w:t>
                    </w:r>
                  </w:p>
                </w:tc>
              </w:tr>
              <w:tr w:rsidR="00F86F21" w14:paraId="1D9746A5" w14:textId="77777777">
                <w:trPr>
                  <w:divId w:val="489105986"/>
                </w:trPr>
                <w:tc>
                  <w:tcPr>
                    <w:tcW w:w="0" w:type="auto"/>
                    <w:hideMark/>
                  </w:tcPr>
                  <w:p w:rsidR="00F86F21" w:rsidRDefault="00F86F21" w14:paraId="0E699F11" w14:textId="77777777">
                    <w:pPr>
                      <w:pStyle w:val="Bibliography"/>
                      <w:rPr>
                        <w:noProof/>
                      </w:rPr>
                    </w:pPr>
                    <w:r>
                      <w:rPr>
                        <w:noProof/>
                      </w:rPr>
                      <w:t xml:space="preserve">Government of Ireland (2025), </w:t>
                    </w:r>
                    <w:r>
                      <w:rPr>
                        <w:i/>
                        <w:iCs/>
                        <w:noProof/>
                      </w:rPr>
                      <w:t>Digital Public Services Plan 2030</w:t>
                    </w:r>
                    <w:r>
                      <w:rPr>
                        <w:noProof/>
                      </w:rPr>
                      <w:t xml:space="preserve">, </w:t>
                    </w:r>
                    <w:r>
                      <w:rPr>
                        <w:noProof/>
                        <w:color w:val="0000FF"/>
                        <w:u w:val="single"/>
                      </w:rPr>
                      <w:t>https://www.gov.ie/en/department-of-public-expenditure-infrastructure-public-service-reform-and-digitalisation/publications/digital-public-services-plan-2030/</w:t>
                    </w:r>
                    <w:r>
                      <w:rPr>
                        <w:noProof/>
                      </w:rPr>
                      <w:t>.</w:t>
                    </w:r>
                  </w:p>
                </w:tc>
                <w:tc>
                  <w:tcPr>
                    <w:tcW w:w="600" w:type="dxa"/>
                    <w:noWrap/>
                    <w:hideMark/>
                  </w:tcPr>
                  <w:p w:rsidR="00F86F21" w:rsidRDefault="00F86F21" w14:paraId="0507F6E4" w14:textId="77777777">
                    <w:pPr>
                      <w:spacing w:before="100" w:beforeAutospacing="1" w:after="100" w:afterAutospacing="1"/>
                      <w:jc w:val="right"/>
                      <w:rPr>
                        <w:noProof/>
                      </w:rPr>
                    </w:pPr>
                    <w:r>
                      <w:rPr>
                        <w:noProof/>
                        <w:color w:val="000000"/>
                        <w:sz w:val="16"/>
                        <w:szCs w:val="16"/>
                      </w:rPr>
                      <w:t>[24]</w:t>
                    </w:r>
                  </w:p>
                </w:tc>
              </w:tr>
              <w:tr w:rsidR="00F86F21" w14:paraId="34AB951B" w14:textId="77777777">
                <w:trPr>
                  <w:divId w:val="489105986"/>
                </w:trPr>
                <w:tc>
                  <w:tcPr>
                    <w:tcW w:w="0" w:type="auto"/>
                    <w:hideMark/>
                  </w:tcPr>
                  <w:p w:rsidR="00F86F21" w:rsidRDefault="00F86F21" w14:paraId="4F7DFC29" w14:textId="77777777">
                    <w:pPr>
                      <w:pStyle w:val="Bibliography"/>
                      <w:rPr>
                        <w:noProof/>
                      </w:rPr>
                    </w:pPr>
                    <w:r>
                      <w:rPr>
                        <w:noProof/>
                      </w:rPr>
                      <w:t xml:space="preserve">Government of Ireland (2023), </w:t>
                    </w:r>
                    <w:r>
                      <w:rPr>
                        <w:i/>
                        <w:iCs/>
                        <w:noProof/>
                      </w:rPr>
                      <w:t>Action Plan for Designing Better Public Services: A Roadmap for Embedding Design in the Public Service</w:t>
                    </w:r>
                    <w:r>
                      <w:rPr>
                        <w:noProof/>
                      </w:rPr>
                      <w:t xml:space="preserve">, </w:t>
                    </w:r>
                    <w:r>
                      <w:rPr>
                        <w:noProof/>
                        <w:color w:val="0000FF"/>
                        <w:u w:val="single"/>
                      </w:rPr>
                      <w:t>https://assets.gov.ie/static/documents/action-plan-for-designing-better-public-services.pdf</w:t>
                    </w:r>
                    <w:r>
                      <w:rPr>
                        <w:noProof/>
                      </w:rPr>
                      <w:t>.</w:t>
                    </w:r>
                  </w:p>
                </w:tc>
                <w:tc>
                  <w:tcPr>
                    <w:tcW w:w="600" w:type="dxa"/>
                    <w:noWrap/>
                    <w:hideMark/>
                  </w:tcPr>
                  <w:p w:rsidR="00F86F21" w:rsidRDefault="00F86F21" w14:paraId="2F3F9107" w14:textId="77777777">
                    <w:pPr>
                      <w:spacing w:before="100" w:beforeAutospacing="1" w:after="100" w:afterAutospacing="1"/>
                      <w:jc w:val="right"/>
                      <w:rPr>
                        <w:noProof/>
                      </w:rPr>
                    </w:pPr>
                    <w:r>
                      <w:rPr>
                        <w:noProof/>
                        <w:color w:val="000000"/>
                        <w:sz w:val="16"/>
                        <w:szCs w:val="16"/>
                      </w:rPr>
                      <w:t>[7]</w:t>
                    </w:r>
                  </w:p>
                </w:tc>
              </w:tr>
              <w:tr w:rsidR="00F86F21" w14:paraId="464CE12E" w14:textId="77777777">
                <w:trPr>
                  <w:divId w:val="489105986"/>
                </w:trPr>
                <w:tc>
                  <w:tcPr>
                    <w:tcW w:w="0" w:type="auto"/>
                    <w:hideMark/>
                  </w:tcPr>
                  <w:p w:rsidR="00F86F21" w:rsidRDefault="00F86F21" w14:paraId="3584054D" w14:textId="77777777">
                    <w:pPr>
                      <w:pStyle w:val="Bibliography"/>
                      <w:rPr>
                        <w:noProof/>
                      </w:rPr>
                    </w:pPr>
                    <w:r>
                      <w:rPr>
                        <w:noProof/>
                      </w:rPr>
                      <w:t xml:space="preserve">Government of Ireland (2023), </w:t>
                    </w:r>
                    <w:r>
                      <w:rPr>
                        <w:i/>
                        <w:iCs/>
                        <w:noProof/>
                      </w:rPr>
                      <w:t>Minister Donohoe launches Public Service Innovation Fund</w:t>
                    </w:r>
                    <w:r>
                      <w:rPr>
                        <w:noProof/>
                      </w:rPr>
                      <w:t xml:space="preserve">, </w:t>
                    </w:r>
                    <w:r>
                      <w:rPr>
                        <w:noProof/>
                        <w:color w:val="0000FF"/>
                        <w:u w:val="single"/>
                      </w:rPr>
                      <w:t>https://www.gov.ie/en/department-of-public-expenditure-infrastructure-public-service-reform-and-digitalisation/press-releases/minister-donohoe-launches-public-service-innovation-fund/</w:t>
                    </w:r>
                    <w:r>
                      <w:rPr>
                        <w:noProof/>
                      </w:rPr>
                      <w:t>.</w:t>
                    </w:r>
                  </w:p>
                </w:tc>
                <w:tc>
                  <w:tcPr>
                    <w:tcW w:w="600" w:type="dxa"/>
                    <w:noWrap/>
                    <w:hideMark/>
                  </w:tcPr>
                  <w:p w:rsidR="00F86F21" w:rsidRDefault="00F86F21" w14:paraId="24CC224E" w14:textId="77777777">
                    <w:pPr>
                      <w:spacing w:before="100" w:beforeAutospacing="1" w:after="100" w:afterAutospacing="1"/>
                      <w:jc w:val="right"/>
                      <w:rPr>
                        <w:noProof/>
                      </w:rPr>
                    </w:pPr>
                    <w:r>
                      <w:rPr>
                        <w:noProof/>
                        <w:color w:val="000000"/>
                        <w:sz w:val="16"/>
                        <w:szCs w:val="16"/>
                      </w:rPr>
                      <w:t>[20]</w:t>
                    </w:r>
                  </w:p>
                </w:tc>
              </w:tr>
              <w:tr w:rsidR="00F86F21" w14:paraId="711B505E" w14:textId="77777777">
                <w:trPr>
                  <w:divId w:val="489105986"/>
                </w:trPr>
                <w:tc>
                  <w:tcPr>
                    <w:tcW w:w="0" w:type="auto"/>
                    <w:hideMark/>
                  </w:tcPr>
                  <w:p w:rsidR="00F86F21" w:rsidRDefault="00F86F21" w14:paraId="0E676932" w14:textId="77777777">
                    <w:pPr>
                      <w:pStyle w:val="Bibliography"/>
                      <w:rPr>
                        <w:noProof/>
                      </w:rPr>
                    </w:pPr>
                    <w:r>
                      <w:rPr>
                        <w:noProof/>
                      </w:rPr>
                      <w:t xml:space="preserve">Government of Ireland (2022), </w:t>
                    </w:r>
                    <w:r>
                      <w:rPr>
                        <w:i/>
                        <w:iCs/>
                        <w:noProof/>
                      </w:rPr>
                      <w:t>Designing our Public Services: Design principles for Government in Ireland</w:t>
                    </w:r>
                    <w:r>
                      <w:rPr>
                        <w:noProof/>
                      </w:rPr>
                      <w:t xml:space="preserve">, </w:t>
                    </w:r>
                    <w:r>
                      <w:rPr>
                        <w:noProof/>
                        <w:color w:val="0000FF"/>
                        <w:u w:val="single"/>
                      </w:rPr>
                      <w:t>https://assets.gov.ie/static/documents/designing-our-public-services.pdf</w:t>
                    </w:r>
                    <w:r>
                      <w:rPr>
                        <w:noProof/>
                      </w:rPr>
                      <w:t>.</w:t>
                    </w:r>
                  </w:p>
                </w:tc>
                <w:tc>
                  <w:tcPr>
                    <w:tcW w:w="600" w:type="dxa"/>
                    <w:noWrap/>
                    <w:hideMark/>
                  </w:tcPr>
                  <w:p w:rsidR="00F86F21" w:rsidRDefault="00F86F21" w14:paraId="303B6195" w14:textId="77777777">
                    <w:pPr>
                      <w:spacing w:before="100" w:beforeAutospacing="1" w:after="100" w:afterAutospacing="1"/>
                      <w:jc w:val="right"/>
                      <w:rPr>
                        <w:noProof/>
                      </w:rPr>
                    </w:pPr>
                    <w:r>
                      <w:rPr>
                        <w:noProof/>
                        <w:color w:val="000000"/>
                        <w:sz w:val="16"/>
                        <w:szCs w:val="16"/>
                      </w:rPr>
                      <w:t>[6]</w:t>
                    </w:r>
                  </w:p>
                </w:tc>
              </w:tr>
              <w:tr w:rsidR="00F86F21" w14:paraId="2EDFBA55" w14:textId="77777777">
                <w:trPr>
                  <w:divId w:val="489105986"/>
                </w:trPr>
                <w:tc>
                  <w:tcPr>
                    <w:tcW w:w="0" w:type="auto"/>
                    <w:hideMark/>
                  </w:tcPr>
                  <w:p w:rsidR="00F86F21" w:rsidRDefault="00F86F21" w14:paraId="3FE70BAD" w14:textId="77777777">
                    <w:pPr>
                      <w:pStyle w:val="Bibliography"/>
                      <w:rPr>
                        <w:noProof/>
                      </w:rPr>
                    </w:pPr>
                    <w:r>
                      <w:rPr>
                        <w:noProof/>
                      </w:rPr>
                      <w:t xml:space="preserve">Government of Slovenia (2024), </w:t>
                    </w:r>
                    <w:r>
                      <w:rPr>
                        <w:i/>
                        <w:iCs/>
                        <w:noProof/>
                      </w:rPr>
                      <w:t>Digitalizirana registracija rojstev v Sloveniji</w:t>
                    </w:r>
                    <w:r>
                      <w:rPr>
                        <w:noProof/>
                      </w:rPr>
                      <w:t xml:space="preserve">, </w:t>
                    </w:r>
                    <w:r>
                      <w:rPr>
                        <w:noProof/>
                        <w:color w:val="0000FF"/>
                        <w:u w:val="single"/>
                      </w:rPr>
                      <w:t>https://www.gov.si/novice/2024-04-02-digitalizirana-registracija-rojstev-v-sloveniji/</w:t>
                    </w:r>
                    <w:r>
                      <w:rPr>
                        <w:noProof/>
                      </w:rPr>
                      <w:t>.</w:t>
                    </w:r>
                  </w:p>
                </w:tc>
                <w:tc>
                  <w:tcPr>
                    <w:tcW w:w="600" w:type="dxa"/>
                    <w:noWrap/>
                    <w:hideMark/>
                  </w:tcPr>
                  <w:p w:rsidR="00F86F21" w:rsidRDefault="00F86F21" w14:paraId="1DB7CA7C" w14:textId="77777777">
                    <w:pPr>
                      <w:spacing w:before="100" w:beforeAutospacing="1" w:after="100" w:afterAutospacing="1"/>
                      <w:jc w:val="right"/>
                      <w:rPr>
                        <w:noProof/>
                      </w:rPr>
                    </w:pPr>
                    <w:r>
                      <w:rPr>
                        <w:noProof/>
                        <w:color w:val="000000"/>
                        <w:sz w:val="16"/>
                        <w:szCs w:val="16"/>
                      </w:rPr>
                      <w:t>[13]</w:t>
                    </w:r>
                  </w:p>
                </w:tc>
              </w:tr>
              <w:tr w:rsidR="00F86F21" w14:paraId="0A1C5B01" w14:textId="77777777">
                <w:trPr>
                  <w:divId w:val="489105986"/>
                </w:trPr>
                <w:tc>
                  <w:tcPr>
                    <w:tcW w:w="0" w:type="auto"/>
                    <w:hideMark/>
                  </w:tcPr>
                  <w:p w:rsidR="00F86F21" w:rsidRDefault="00F86F21" w14:paraId="57FC2D10" w14:textId="77777777">
                    <w:pPr>
                      <w:pStyle w:val="Bibliography"/>
                      <w:rPr>
                        <w:noProof/>
                      </w:rPr>
                    </w:pPr>
                    <w:r>
                      <w:rPr>
                        <w:noProof/>
                      </w:rPr>
                      <w:t xml:space="preserve">Ministry of Economic Affairs and Communications (n.d.), </w:t>
                    </w:r>
                    <w:r>
                      <w:rPr>
                        <w:i/>
                        <w:iCs/>
                        <w:noProof/>
                      </w:rPr>
                      <w:t>Toolbox for designing digital public services</w:t>
                    </w:r>
                    <w:r>
                      <w:rPr>
                        <w:noProof/>
                      </w:rPr>
                      <w:t xml:space="preserve">, </w:t>
                    </w:r>
                    <w:r>
                      <w:rPr>
                        <w:noProof/>
                        <w:color w:val="0000FF"/>
                        <w:u w:val="single"/>
                      </w:rPr>
                      <w:t>https://digiriik.eesti.ee/</w:t>
                    </w:r>
                    <w:r>
                      <w:rPr>
                        <w:noProof/>
                      </w:rPr>
                      <w:t>.</w:t>
                    </w:r>
                  </w:p>
                </w:tc>
                <w:tc>
                  <w:tcPr>
                    <w:tcW w:w="600" w:type="dxa"/>
                    <w:noWrap/>
                    <w:hideMark/>
                  </w:tcPr>
                  <w:p w:rsidR="00F86F21" w:rsidRDefault="00F86F21" w14:paraId="0059A505" w14:textId="77777777">
                    <w:pPr>
                      <w:spacing w:before="100" w:beforeAutospacing="1" w:after="100" w:afterAutospacing="1"/>
                      <w:jc w:val="right"/>
                      <w:rPr>
                        <w:noProof/>
                      </w:rPr>
                    </w:pPr>
                    <w:r>
                      <w:rPr>
                        <w:noProof/>
                        <w:color w:val="000000"/>
                        <w:sz w:val="16"/>
                        <w:szCs w:val="16"/>
                      </w:rPr>
                      <w:t>[5]</w:t>
                    </w:r>
                  </w:p>
                </w:tc>
              </w:tr>
              <w:tr w:rsidR="00F86F21" w14:paraId="4E177B27" w14:textId="77777777">
                <w:trPr>
                  <w:divId w:val="489105986"/>
                </w:trPr>
                <w:tc>
                  <w:tcPr>
                    <w:tcW w:w="0" w:type="auto"/>
                    <w:hideMark/>
                  </w:tcPr>
                  <w:p w:rsidR="00F86F21" w:rsidRDefault="00F86F21" w14:paraId="7CDBF2F4" w14:textId="77777777">
                    <w:pPr>
                      <w:pStyle w:val="Bibliography"/>
                      <w:rPr>
                        <w:noProof/>
                      </w:rPr>
                    </w:pPr>
                    <w:r>
                      <w:rPr>
                        <w:noProof/>
                      </w:rPr>
                      <w:t xml:space="preserve">Ministry of Finance (n.d.), </w:t>
                    </w:r>
                    <w:r>
                      <w:rPr>
                        <w:i/>
                        <w:iCs/>
                        <w:noProof/>
                      </w:rPr>
                      <w:t>Programme to promote life-event-based digitalisation</w:t>
                    </w:r>
                    <w:r>
                      <w:rPr>
                        <w:noProof/>
                      </w:rPr>
                      <w:t xml:space="preserve">, </w:t>
                    </w:r>
                    <w:r>
                      <w:rPr>
                        <w:noProof/>
                        <w:color w:val="0000FF"/>
                        <w:u w:val="single"/>
                      </w:rPr>
                      <w:t>https://vm.fi/en/programme-to-promote-life-event-based-digitalisation</w:t>
                    </w:r>
                    <w:r>
                      <w:rPr>
                        <w:noProof/>
                      </w:rPr>
                      <w:t>.</w:t>
                    </w:r>
                  </w:p>
                </w:tc>
                <w:tc>
                  <w:tcPr>
                    <w:tcW w:w="600" w:type="dxa"/>
                    <w:noWrap/>
                    <w:hideMark/>
                  </w:tcPr>
                  <w:p w:rsidR="00F86F21" w:rsidRDefault="00F86F21" w14:paraId="1D046EB3" w14:textId="77777777">
                    <w:pPr>
                      <w:spacing w:before="100" w:beforeAutospacing="1" w:after="100" w:afterAutospacing="1"/>
                      <w:jc w:val="right"/>
                      <w:rPr>
                        <w:noProof/>
                      </w:rPr>
                    </w:pPr>
                    <w:r>
                      <w:rPr>
                        <w:noProof/>
                        <w:color w:val="000000"/>
                        <w:sz w:val="16"/>
                        <w:szCs w:val="16"/>
                      </w:rPr>
                      <w:t>[16]</w:t>
                    </w:r>
                  </w:p>
                </w:tc>
              </w:tr>
              <w:tr w:rsidR="00F86F21" w14:paraId="24DCCE8C" w14:textId="77777777">
                <w:trPr>
                  <w:divId w:val="489105986"/>
                </w:trPr>
                <w:tc>
                  <w:tcPr>
                    <w:tcW w:w="0" w:type="auto"/>
                    <w:hideMark/>
                  </w:tcPr>
                  <w:p w:rsidR="00F86F21" w:rsidRDefault="00F86F21" w14:paraId="75DC74DC" w14:textId="77777777">
                    <w:pPr>
                      <w:pStyle w:val="Bibliography"/>
                      <w:rPr>
                        <w:noProof/>
                      </w:rPr>
                    </w:pPr>
                    <w:r>
                      <w:rPr>
                        <w:noProof/>
                      </w:rPr>
                      <w:t xml:space="preserve">Ministry of Smart Administration and Regional Development (2025), </w:t>
                    </w:r>
                    <w:r>
                      <w:rPr>
                        <w:i/>
                        <w:iCs/>
                        <w:noProof/>
                      </w:rPr>
                      <w:t>State and local government unified customer service center network</w:t>
                    </w:r>
                    <w:r>
                      <w:rPr>
                        <w:noProof/>
                      </w:rPr>
                      <w:t xml:space="preserve">, </w:t>
                    </w:r>
                    <w:r>
                      <w:rPr>
                        <w:noProof/>
                        <w:color w:val="0000FF"/>
                        <w:u w:val="single"/>
                      </w:rPr>
                      <w:t>https://www.varam.gov.lv/lv/vpvkac</w:t>
                    </w:r>
                    <w:r>
                      <w:rPr>
                        <w:noProof/>
                      </w:rPr>
                      <w:t>.</w:t>
                    </w:r>
                  </w:p>
                </w:tc>
                <w:tc>
                  <w:tcPr>
                    <w:tcW w:w="600" w:type="dxa"/>
                    <w:noWrap/>
                    <w:hideMark/>
                  </w:tcPr>
                  <w:p w:rsidR="00F86F21" w:rsidRDefault="00F86F21" w14:paraId="257C1921" w14:textId="77777777">
                    <w:pPr>
                      <w:spacing w:before="100" w:beforeAutospacing="1" w:after="100" w:afterAutospacing="1"/>
                      <w:jc w:val="right"/>
                      <w:rPr>
                        <w:noProof/>
                      </w:rPr>
                    </w:pPr>
                    <w:r>
                      <w:rPr>
                        <w:noProof/>
                        <w:color w:val="000000"/>
                        <w:sz w:val="16"/>
                        <w:szCs w:val="16"/>
                      </w:rPr>
                      <w:t>[19]</w:t>
                    </w:r>
                  </w:p>
                </w:tc>
              </w:tr>
              <w:tr w:rsidR="00F86F21" w14:paraId="3822CE44" w14:textId="77777777">
                <w:trPr>
                  <w:divId w:val="489105986"/>
                </w:trPr>
                <w:tc>
                  <w:tcPr>
                    <w:tcW w:w="0" w:type="auto"/>
                    <w:hideMark/>
                  </w:tcPr>
                  <w:p w:rsidR="00F86F21" w:rsidRDefault="00F86F21" w14:paraId="45EC963E" w14:textId="77777777">
                    <w:pPr>
                      <w:pStyle w:val="Bibliography"/>
                      <w:rPr>
                        <w:noProof/>
                      </w:rPr>
                    </w:pPr>
                    <w:r>
                      <w:rPr>
                        <w:noProof/>
                      </w:rPr>
                      <w:t xml:space="preserve">OECD (2025), </w:t>
                    </w:r>
                    <w:r>
                      <w:rPr>
                        <w:i/>
                        <w:iCs/>
                        <w:noProof/>
                      </w:rPr>
                      <w:t>Best practice principles for licensing and permitting: How to manage risks while supporting growth</w:t>
                    </w:r>
                    <w:r>
                      <w:rPr>
                        <w:noProof/>
                      </w:rPr>
                      <w:t xml:space="preserve">, OECD Publishing, Paris, </w:t>
                    </w:r>
                    <w:r>
                      <w:rPr>
                        <w:noProof/>
                        <w:color w:val="0000FF"/>
                        <w:u w:val="single"/>
                      </w:rPr>
                      <w:t>https://doi.org/10.1787/5f63586d-en.</w:t>
                    </w:r>
                  </w:p>
                </w:tc>
                <w:tc>
                  <w:tcPr>
                    <w:tcW w:w="600" w:type="dxa"/>
                    <w:noWrap/>
                    <w:hideMark/>
                  </w:tcPr>
                  <w:p w:rsidR="00F86F21" w:rsidRDefault="00F86F21" w14:paraId="204CAA02" w14:textId="77777777">
                    <w:pPr>
                      <w:spacing w:before="100" w:beforeAutospacing="1" w:after="100" w:afterAutospacing="1"/>
                      <w:jc w:val="right"/>
                      <w:rPr>
                        <w:noProof/>
                      </w:rPr>
                    </w:pPr>
                    <w:r>
                      <w:rPr>
                        <w:noProof/>
                        <w:color w:val="000000"/>
                        <w:sz w:val="16"/>
                        <w:szCs w:val="16"/>
                      </w:rPr>
                      <w:t>[23]</w:t>
                    </w:r>
                  </w:p>
                </w:tc>
              </w:tr>
              <w:tr w:rsidR="00F86F21" w14:paraId="2A6E1743" w14:textId="77777777">
                <w:trPr>
                  <w:divId w:val="489105986"/>
                </w:trPr>
                <w:tc>
                  <w:tcPr>
                    <w:tcW w:w="0" w:type="auto"/>
                    <w:hideMark/>
                  </w:tcPr>
                  <w:p w:rsidR="00F86F21" w:rsidRDefault="00F86F21" w14:paraId="2A4FE1BE" w14:textId="77777777">
                    <w:pPr>
                      <w:pStyle w:val="Bibliography"/>
                      <w:rPr>
                        <w:noProof/>
                      </w:rPr>
                    </w:pPr>
                    <w:r>
                      <w:rPr>
                        <w:noProof/>
                      </w:rPr>
                      <w:t xml:space="preserve">OECD (2025), </w:t>
                    </w:r>
                    <w:r>
                      <w:rPr>
                        <w:i/>
                        <w:iCs/>
                        <w:noProof/>
                      </w:rPr>
                      <w:t>Better Regulation Practices across the European Union 2025</w:t>
                    </w:r>
                    <w:r>
                      <w:rPr>
                        <w:noProof/>
                      </w:rPr>
                      <w:t xml:space="preserve">, OECD Publishing, Paris, </w:t>
                    </w:r>
                    <w:r>
                      <w:rPr>
                        <w:noProof/>
                        <w:color w:val="0000FF"/>
                        <w:u w:val="single"/>
                      </w:rPr>
                      <w:t>https://doi.org/10.1787/6f007516-en.</w:t>
                    </w:r>
                  </w:p>
                </w:tc>
                <w:tc>
                  <w:tcPr>
                    <w:tcW w:w="600" w:type="dxa"/>
                    <w:noWrap/>
                    <w:hideMark/>
                  </w:tcPr>
                  <w:p w:rsidR="00F86F21" w:rsidRDefault="00F86F21" w14:paraId="55940419" w14:textId="77777777">
                    <w:pPr>
                      <w:spacing w:before="100" w:beforeAutospacing="1" w:after="100" w:afterAutospacing="1"/>
                      <w:jc w:val="right"/>
                      <w:rPr>
                        <w:noProof/>
                      </w:rPr>
                    </w:pPr>
                    <w:r>
                      <w:rPr>
                        <w:noProof/>
                        <w:color w:val="000000"/>
                        <w:sz w:val="16"/>
                        <w:szCs w:val="16"/>
                      </w:rPr>
                      <w:t>[27]</w:t>
                    </w:r>
                  </w:p>
                </w:tc>
              </w:tr>
              <w:tr w:rsidR="00F86F21" w14:paraId="22131832" w14:textId="77777777">
                <w:trPr>
                  <w:divId w:val="489105986"/>
                </w:trPr>
                <w:tc>
                  <w:tcPr>
                    <w:tcW w:w="0" w:type="auto"/>
                    <w:hideMark/>
                  </w:tcPr>
                  <w:p w:rsidR="00F86F21" w:rsidRDefault="00F86F21" w14:paraId="5C7F398F" w14:textId="77777777">
                    <w:pPr>
                      <w:pStyle w:val="Bibliography"/>
                      <w:rPr>
                        <w:noProof/>
                      </w:rPr>
                    </w:pPr>
                    <w:r>
                      <w:rPr>
                        <w:noProof/>
                      </w:rPr>
                      <w:t xml:space="preserve">OECD (2025), </w:t>
                    </w:r>
                    <w:r>
                      <w:rPr>
                        <w:i/>
                        <w:iCs/>
                        <w:noProof/>
                      </w:rPr>
                      <w:t>Governing with Artificial Intelligence: The State of Play and Way Forward in Core Government Functions</w:t>
                    </w:r>
                    <w:r>
                      <w:rPr>
                        <w:noProof/>
                      </w:rPr>
                      <w:t xml:space="preserve">, OECD Publishing, Paris, </w:t>
                    </w:r>
                    <w:r>
                      <w:rPr>
                        <w:noProof/>
                        <w:color w:val="0000FF"/>
                        <w:u w:val="single"/>
                      </w:rPr>
                      <w:t>https://doi.org/10.1787/795de142-en</w:t>
                    </w:r>
                    <w:r>
                      <w:rPr>
                        <w:noProof/>
                      </w:rPr>
                      <w:t>.</w:t>
                    </w:r>
                  </w:p>
                </w:tc>
                <w:tc>
                  <w:tcPr>
                    <w:tcW w:w="600" w:type="dxa"/>
                    <w:noWrap/>
                    <w:hideMark/>
                  </w:tcPr>
                  <w:p w:rsidR="00F86F21" w:rsidRDefault="00F86F21" w14:paraId="17D00316" w14:textId="77777777">
                    <w:pPr>
                      <w:spacing w:before="100" w:beforeAutospacing="1" w:after="100" w:afterAutospacing="1"/>
                      <w:jc w:val="right"/>
                      <w:rPr>
                        <w:noProof/>
                      </w:rPr>
                    </w:pPr>
                    <w:r>
                      <w:rPr>
                        <w:noProof/>
                        <w:color w:val="000000"/>
                        <w:sz w:val="16"/>
                        <w:szCs w:val="16"/>
                      </w:rPr>
                      <w:t>[11]</w:t>
                    </w:r>
                  </w:p>
                </w:tc>
              </w:tr>
              <w:tr w:rsidR="00F86F21" w14:paraId="5ADDA09B" w14:textId="77777777">
                <w:trPr>
                  <w:divId w:val="489105986"/>
                </w:trPr>
                <w:tc>
                  <w:tcPr>
                    <w:tcW w:w="0" w:type="auto"/>
                    <w:hideMark/>
                  </w:tcPr>
                  <w:p w:rsidR="00F86F21" w:rsidRDefault="00F86F21" w14:paraId="5193E84A" w14:textId="77777777">
                    <w:pPr>
                      <w:pStyle w:val="Bibliography"/>
                      <w:rPr>
                        <w:noProof/>
                      </w:rPr>
                    </w:pPr>
                    <w:r>
                      <w:rPr>
                        <w:noProof/>
                      </w:rPr>
                      <w:t xml:space="preserve">OECD (2025), </w:t>
                    </w:r>
                    <w:r>
                      <w:rPr>
                        <w:i/>
                        <w:iCs/>
                        <w:noProof/>
                      </w:rPr>
                      <w:t>Government at a Glance 2025</w:t>
                    </w:r>
                    <w:r>
                      <w:rPr>
                        <w:noProof/>
                      </w:rPr>
                      <w:t xml:space="preserve">, OECD Publishing, Paris, </w:t>
                    </w:r>
                    <w:r>
                      <w:rPr>
                        <w:noProof/>
                        <w:color w:val="0000FF"/>
                        <w:u w:val="single"/>
                      </w:rPr>
                      <w:t>https://doi.org/10.1787/0efd0bcd-en</w:t>
                    </w:r>
                    <w:r>
                      <w:rPr>
                        <w:noProof/>
                      </w:rPr>
                      <w:t>.</w:t>
                    </w:r>
                  </w:p>
                </w:tc>
                <w:tc>
                  <w:tcPr>
                    <w:tcW w:w="600" w:type="dxa"/>
                    <w:noWrap/>
                    <w:hideMark/>
                  </w:tcPr>
                  <w:p w:rsidR="00F86F21" w:rsidRDefault="00F86F21" w14:paraId="32434C94" w14:textId="77777777">
                    <w:pPr>
                      <w:spacing w:before="100" w:beforeAutospacing="1" w:after="100" w:afterAutospacing="1"/>
                      <w:jc w:val="right"/>
                      <w:rPr>
                        <w:noProof/>
                      </w:rPr>
                    </w:pPr>
                    <w:r>
                      <w:rPr>
                        <w:noProof/>
                        <w:color w:val="000000"/>
                        <w:sz w:val="16"/>
                        <w:szCs w:val="16"/>
                      </w:rPr>
                      <w:t>[3]</w:t>
                    </w:r>
                  </w:p>
                </w:tc>
              </w:tr>
              <w:tr w:rsidR="00F86F21" w14:paraId="5D26FD84" w14:textId="77777777">
                <w:trPr>
                  <w:divId w:val="489105986"/>
                </w:trPr>
                <w:tc>
                  <w:tcPr>
                    <w:tcW w:w="0" w:type="auto"/>
                    <w:hideMark/>
                  </w:tcPr>
                  <w:p w:rsidR="00F86F21" w:rsidRDefault="00F86F21" w14:paraId="03674828" w14:textId="77777777">
                    <w:pPr>
                      <w:pStyle w:val="Bibliography"/>
                      <w:rPr>
                        <w:noProof/>
                      </w:rPr>
                    </w:pPr>
                    <w:r>
                      <w:rPr>
                        <w:noProof/>
                      </w:rPr>
                      <w:t xml:space="preserve">OECD (2025), </w:t>
                    </w:r>
                    <w:r>
                      <w:rPr>
                        <w:i/>
                        <w:iCs/>
                        <w:noProof/>
                      </w:rPr>
                      <w:t>Simplifying for Success, Insights from OECD Surveys</w:t>
                    </w:r>
                    <w:r>
                      <w:rPr>
                        <w:noProof/>
                      </w:rPr>
                      <w:t>, Background paper prepared for the OECD High-level Symposium, 17-18 November 2025, Paris.</w:t>
                    </w:r>
                  </w:p>
                </w:tc>
                <w:tc>
                  <w:tcPr>
                    <w:tcW w:w="600" w:type="dxa"/>
                    <w:noWrap/>
                    <w:hideMark/>
                  </w:tcPr>
                  <w:p w:rsidR="00F86F21" w:rsidRDefault="00F86F21" w14:paraId="2C47E4F3" w14:textId="77777777">
                    <w:pPr>
                      <w:spacing w:before="100" w:beforeAutospacing="1" w:after="100" w:afterAutospacing="1"/>
                      <w:jc w:val="right"/>
                      <w:rPr>
                        <w:noProof/>
                      </w:rPr>
                    </w:pPr>
                    <w:r>
                      <w:rPr>
                        <w:noProof/>
                        <w:color w:val="000000"/>
                        <w:sz w:val="16"/>
                        <w:szCs w:val="16"/>
                      </w:rPr>
                      <w:t>[21]</w:t>
                    </w:r>
                  </w:p>
                </w:tc>
              </w:tr>
              <w:tr w:rsidR="00F86F21" w14:paraId="68AEEC34" w14:textId="77777777">
                <w:trPr>
                  <w:divId w:val="489105986"/>
                </w:trPr>
                <w:tc>
                  <w:tcPr>
                    <w:tcW w:w="0" w:type="auto"/>
                    <w:hideMark/>
                  </w:tcPr>
                  <w:p w:rsidR="00F86F21" w:rsidRDefault="00F86F21" w14:paraId="3BD8967B" w14:textId="77777777">
                    <w:pPr>
                      <w:pStyle w:val="Bibliography"/>
                      <w:rPr>
                        <w:noProof/>
                      </w:rPr>
                    </w:pPr>
                    <w:r>
                      <w:rPr>
                        <w:noProof/>
                      </w:rPr>
                      <w:t xml:space="preserve">OECD (2024), “2023 OECD Digital Government Index: Results and key findings”, </w:t>
                    </w:r>
                    <w:r>
                      <w:rPr>
                        <w:i/>
                        <w:iCs/>
                        <w:noProof/>
                      </w:rPr>
                      <w:t>OECD Public Governance Policy Papers, No. 44, OECD Publishing, Paris</w:t>
                    </w:r>
                    <w:r>
                      <w:rPr>
                        <w:noProof/>
                      </w:rPr>
                      <w:t xml:space="preserve">, </w:t>
                    </w:r>
                    <w:r>
                      <w:rPr>
                        <w:noProof/>
                        <w:color w:val="0000FF"/>
                        <w:u w:val="single"/>
                      </w:rPr>
                      <w:t>https://doi.org/10.1787/1a89ed5e-en</w:t>
                    </w:r>
                    <w:r>
                      <w:rPr>
                        <w:noProof/>
                      </w:rPr>
                      <w:t>.</w:t>
                    </w:r>
                  </w:p>
                </w:tc>
                <w:tc>
                  <w:tcPr>
                    <w:tcW w:w="600" w:type="dxa"/>
                    <w:noWrap/>
                    <w:hideMark/>
                  </w:tcPr>
                  <w:p w:rsidR="00F86F21" w:rsidRDefault="00F86F21" w14:paraId="7F11CB3D" w14:textId="77777777">
                    <w:pPr>
                      <w:spacing w:before="100" w:beforeAutospacing="1" w:after="100" w:afterAutospacing="1"/>
                      <w:jc w:val="right"/>
                      <w:rPr>
                        <w:noProof/>
                      </w:rPr>
                    </w:pPr>
                    <w:r>
                      <w:rPr>
                        <w:noProof/>
                        <w:color w:val="000000"/>
                        <w:sz w:val="16"/>
                        <w:szCs w:val="16"/>
                      </w:rPr>
                      <w:t>[4]</w:t>
                    </w:r>
                  </w:p>
                </w:tc>
              </w:tr>
              <w:tr w:rsidR="00F86F21" w14:paraId="3852B63C" w14:textId="77777777">
                <w:trPr>
                  <w:divId w:val="489105986"/>
                </w:trPr>
                <w:tc>
                  <w:tcPr>
                    <w:tcW w:w="0" w:type="auto"/>
                    <w:hideMark/>
                  </w:tcPr>
                  <w:p w:rsidR="00F86F21" w:rsidRDefault="00F86F21" w14:paraId="19A86946" w14:textId="77777777">
                    <w:pPr>
                      <w:pStyle w:val="Bibliography"/>
                      <w:rPr>
                        <w:noProof/>
                      </w:rPr>
                    </w:pPr>
                    <w:r>
                      <w:rPr>
                        <w:noProof/>
                      </w:rPr>
                      <w:t xml:space="preserve">OECD (2024), </w:t>
                    </w:r>
                    <w:r>
                      <w:rPr>
                        <w:i/>
                        <w:iCs/>
                        <w:noProof/>
                      </w:rPr>
                      <w:t>OECD Survey on Drivers of Trust in Public Institutions – 2024 Results: Building Trust in a Complex Policy Environment</w:t>
                    </w:r>
                    <w:r>
                      <w:rPr>
                        <w:noProof/>
                      </w:rPr>
                      <w:t xml:space="preserve">, OECD Publishing, Paris, </w:t>
                    </w:r>
                    <w:r>
                      <w:rPr>
                        <w:noProof/>
                        <w:color w:val="0000FF"/>
                        <w:u w:val="single"/>
                      </w:rPr>
                      <w:t>https://doi.org/10.1787/9a20554b-en</w:t>
                    </w:r>
                    <w:r>
                      <w:rPr>
                        <w:noProof/>
                      </w:rPr>
                      <w:t>.</w:t>
                    </w:r>
                  </w:p>
                </w:tc>
                <w:tc>
                  <w:tcPr>
                    <w:tcW w:w="600" w:type="dxa"/>
                    <w:noWrap/>
                    <w:hideMark/>
                  </w:tcPr>
                  <w:p w:rsidR="00F86F21" w:rsidRDefault="00F86F21" w14:paraId="6CDB68DC" w14:textId="77777777">
                    <w:pPr>
                      <w:spacing w:before="100" w:beforeAutospacing="1" w:after="100" w:afterAutospacing="1"/>
                      <w:jc w:val="right"/>
                      <w:rPr>
                        <w:noProof/>
                      </w:rPr>
                    </w:pPr>
                    <w:r>
                      <w:rPr>
                        <w:noProof/>
                        <w:color w:val="000000"/>
                        <w:sz w:val="16"/>
                        <w:szCs w:val="16"/>
                      </w:rPr>
                      <w:t>[2]</w:t>
                    </w:r>
                  </w:p>
                </w:tc>
              </w:tr>
              <w:tr w:rsidR="00F86F21" w14:paraId="2B310B5A" w14:textId="77777777">
                <w:trPr>
                  <w:divId w:val="489105986"/>
                </w:trPr>
                <w:tc>
                  <w:tcPr>
                    <w:tcW w:w="0" w:type="auto"/>
                    <w:hideMark/>
                  </w:tcPr>
                  <w:p w:rsidR="00F86F21" w:rsidRDefault="00F86F21" w14:paraId="5825EE71" w14:textId="77777777">
                    <w:pPr>
                      <w:pStyle w:val="Bibliography"/>
                      <w:rPr>
                        <w:noProof/>
                      </w:rPr>
                    </w:pPr>
                    <w:r>
                      <w:rPr>
                        <w:noProof/>
                      </w:rPr>
                      <w:t xml:space="preserve">OECD (2024), </w:t>
                    </w:r>
                    <w:r>
                      <w:rPr>
                        <w:i/>
                        <w:iCs/>
                        <w:noProof/>
                      </w:rPr>
                      <w:t>Recommendation of the Council on Human-Centred Public Administrative Services</w:t>
                    </w:r>
                    <w:r>
                      <w:rPr>
                        <w:noProof/>
                      </w:rPr>
                      <w:t xml:space="preserve">, </w:t>
                    </w:r>
                    <w:r>
                      <w:rPr>
                        <w:noProof/>
                        <w:color w:val="0000FF"/>
                        <w:u w:val="single"/>
                      </w:rPr>
                      <w:t>https://legalinstruments.oecd.org/en/instruments/OECD-LEGAL-0503</w:t>
                    </w:r>
                    <w:r>
                      <w:rPr>
                        <w:noProof/>
                      </w:rPr>
                      <w:t>.</w:t>
                    </w:r>
                  </w:p>
                </w:tc>
                <w:tc>
                  <w:tcPr>
                    <w:tcW w:w="600" w:type="dxa"/>
                    <w:noWrap/>
                    <w:hideMark/>
                  </w:tcPr>
                  <w:p w:rsidR="00F86F21" w:rsidRDefault="00F86F21" w14:paraId="42394C4D" w14:textId="77777777">
                    <w:pPr>
                      <w:spacing w:before="100" w:beforeAutospacing="1" w:after="100" w:afterAutospacing="1"/>
                      <w:jc w:val="right"/>
                      <w:rPr>
                        <w:noProof/>
                      </w:rPr>
                    </w:pPr>
                    <w:r>
                      <w:rPr>
                        <w:noProof/>
                        <w:color w:val="000000"/>
                        <w:sz w:val="16"/>
                        <w:szCs w:val="16"/>
                      </w:rPr>
                      <w:t>[9]</w:t>
                    </w:r>
                  </w:p>
                </w:tc>
              </w:tr>
              <w:tr w:rsidR="00F86F21" w14:paraId="0A54F9E4" w14:textId="77777777">
                <w:trPr>
                  <w:divId w:val="489105986"/>
                </w:trPr>
                <w:tc>
                  <w:tcPr>
                    <w:tcW w:w="0" w:type="auto"/>
                    <w:hideMark/>
                  </w:tcPr>
                  <w:p w:rsidR="00F86F21" w:rsidRDefault="00F86F21" w14:paraId="138D4C52" w14:textId="77777777">
                    <w:pPr>
                      <w:pStyle w:val="Bibliography"/>
                      <w:rPr>
                        <w:noProof/>
                      </w:rPr>
                    </w:pPr>
                    <w:r>
                      <w:rPr>
                        <w:noProof/>
                      </w:rPr>
                      <w:t xml:space="preserve">OECD (2024), </w:t>
                    </w:r>
                    <w:r>
                      <w:rPr>
                        <w:i/>
                        <w:iCs/>
                        <w:noProof/>
                      </w:rPr>
                      <w:t>Recommendation of the Council on Human-Centred Public Administrative Services</w:t>
                    </w:r>
                    <w:r>
                      <w:rPr>
                        <w:noProof/>
                      </w:rPr>
                      <w:t>.</w:t>
                    </w:r>
                  </w:p>
                </w:tc>
                <w:tc>
                  <w:tcPr>
                    <w:tcW w:w="600" w:type="dxa"/>
                    <w:noWrap/>
                    <w:hideMark/>
                  </w:tcPr>
                  <w:p w:rsidR="00F86F21" w:rsidRDefault="00F86F21" w14:paraId="2EB5AA5A" w14:textId="77777777">
                    <w:pPr>
                      <w:spacing w:before="100" w:beforeAutospacing="1" w:after="100" w:afterAutospacing="1"/>
                      <w:jc w:val="right"/>
                      <w:rPr>
                        <w:noProof/>
                      </w:rPr>
                    </w:pPr>
                    <w:r>
                      <w:rPr>
                        <w:noProof/>
                        <w:color w:val="000000"/>
                        <w:sz w:val="16"/>
                        <w:szCs w:val="16"/>
                      </w:rPr>
                      <w:t>[1]</w:t>
                    </w:r>
                  </w:p>
                </w:tc>
              </w:tr>
              <w:tr w:rsidR="00F86F21" w14:paraId="65009B58" w14:textId="77777777">
                <w:trPr>
                  <w:divId w:val="489105986"/>
                </w:trPr>
                <w:tc>
                  <w:tcPr>
                    <w:tcW w:w="0" w:type="auto"/>
                    <w:hideMark/>
                  </w:tcPr>
                  <w:p w:rsidR="00F86F21" w:rsidRDefault="00F86F21" w14:paraId="79036655" w14:textId="77777777">
                    <w:pPr>
                      <w:pStyle w:val="Bibliography"/>
                      <w:rPr>
                        <w:noProof/>
                      </w:rPr>
                    </w:pPr>
                    <w:r>
                      <w:rPr>
                        <w:noProof/>
                      </w:rPr>
                      <w:t xml:space="preserve">OECD (2024), </w:t>
                    </w:r>
                    <w:r>
                      <w:rPr>
                        <w:i/>
                        <w:iCs/>
                        <w:noProof/>
                      </w:rPr>
                      <w:t>Survey on Measuring Citizen Satisfaction with key Government Services</w:t>
                    </w:r>
                    <w:r>
                      <w:rPr>
                        <w:noProof/>
                      </w:rPr>
                      <w:t>.</w:t>
                    </w:r>
                  </w:p>
                </w:tc>
                <w:tc>
                  <w:tcPr>
                    <w:tcW w:w="600" w:type="dxa"/>
                    <w:noWrap/>
                    <w:hideMark/>
                  </w:tcPr>
                  <w:p w:rsidR="00F86F21" w:rsidRDefault="00F86F21" w14:paraId="1279C82A" w14:textId="77777777">
                    <w:pPr>
                      <w:spacing w:before="100" w:beforeAutospacing="1" w:after="100" w:afterAutospacing="1"/>
                      <w:jc w:val="right"/>
                      <w:rPr>
                        <w:noProof/>
                      </w:rPr>
                    </w:pPr>
                    <w:r>
                      <w:rPr>
                        <w:noProof/>
                        <w:color w:val="000000"/>
                        <w:sz w:val="16"/>
                        <w:szCs w:val="16"/>
                      </w:rPr>
                      <w:t>[15]</w:t>
                    </w:r>
                  </w:p>
                </w:tc>
              </w:tr>
              <w:tr w:rsidR="00F86F21" w14:paraId="1917BE74" w14:textId="77777777">
                <w:trPr>
                  <w:divId w:val="489105986"/>
                </w:trPr>
                <w:tc>
                  <w:tcPr>
                    <w:tcW w:w="0" w:type="auto"/>
                    <w:hideMark/>
                  </w:tcPr>
                  <w:p w:rsidR="00F86F21" w:rsidRDefault="00F86F21" w14:paraId="63545FA0" w14:textId="77777777">
                    <w:pPr>
                      <w:pStyle w:val="Bibliography"/>
                      <w:rPr>
                        <w:noProof/>
                      </w:rPr>
                    </w:pPr>
                    <w:r>
                      <w:rPr>
                        <w:noProof/>
                      </w:rPr>
                      <w:t xml:space="preserve">OECD (2020), </w:t>
                    </w:r>
                    <w:r>
                      <w:rPr>
                        <w:i/>
                        <w:iCs/>
                        <w:noProof/>
                      </w:rPr>
                      <w:t>The OECD Digital Government Policy Framework: Six dimensions of a digital government</w:t>
                    </w:r>
                    <w:r>
                      <w:rPr>
                        <w:noProof/>
                      </w:rPr>
                      <w:t xml:space="preserve">, OECD Publishing, Paris, </w:t>
                    </w:r>
                    <w:r>
                      <w:rPr>
                        <w:noProof/>
                        <w:color w:val="0000FF"/>
                        <w:u w:val="single"/>
                      </w:rPr>
                      <w:t>https://www.oecd.org/en/publications/the-oecd-digital-government-policy-framework_f64fed2a-en.html</w:t>
                    </w:r>
                    <w:r>
                      <w:rPr>
                        <w:noProof/>
                      </w:rPr>
                      <w:t>.</w:t>
                    </w:r>
                  </w:p>
                </w:tc>
                <w:tc>
                  <w:tcPr>
                    <w:tcW w:w="600" w:type="dxa"/>
                    <w:noWrap/>
                    <w:hideMark/>
                  </w:tcPr>
                  <w:p w:rsidR="00F86F21" w:rsidRDefault="00F86F21" w14:paraId="36E5631A" w14:textId="77777777">
                    <w:pPr>
                      <w:spacing w:before="100" w:beforeAutospacing="1" w:after="100" w:afterAutospacing="1"/>
                      <w:jc w:val="right"/>
                      <w:rPr>
                        <w:noProof/>
                      </w:rPr>
                    </w:pPr>
                    <w:r>
                      <w:rPr>
                        <w:noProof/>
                        <w:color w:val="000000"/>
                        <w:sz w:val="16"/>
                        <w:szCs w:val="16"/>
                      </w:rPr>
                      <w:t>[10]</w:t>
                    </w:r>
                  </w:p>
                </w:tc>
              </w:tr>
              <w:tr w:rsidR="00F86F21" w14:paraId="6BB5F920" w14:textId="77777777">
                <w:trPr>
                  <w:divId w:val="489105986"/>
                </w:trPr>
                <w:tc>
                  <w:tcPr>
                    <w:tcW w:w="0" w:type="auto"/>
                    <w:hideMark/>
                  </w:tcPr>
                  <w:p w:rsidR="00F86F21" w:rsidRDefault="00F86F21" w14:paraId="3EF23218" w14:textId="77777777">
                    <w:pPr>
                      <w:pStyle w:val="Bibliography"/>
                      <w:rPr>
                        <w:noProof/>
                      </w:rPr>
                    </w:pPr>
                    <w:r>
                      <w:rPr>
                        <w:noProof/>
                      </w:rPr>
                      <w:t xml:space="preserve">OECD (2018), </w:t>
                    </w:r>
                    <w:r>
                      <w:rPr>
                        <w:i/>
                        <w:iCs/>
                        <w:noProof/>
                      </w:rPr>
                      <w:t>OECD Regulatory Enforcement and Inspections Toolkit</w:t>
                    </w:r>
                    <w:r>
                      <w:rPr>
                        <w:noProof/>
                      </w:rPr>
                      <w:t xml:space="preserve">, OECD Publishing, Paris, </w:t>
                    </w:r>
                    <w:r>
                      <w:rPr>
                        <w:noProof/>
                        <w:color w:val="0000FF"/>
                        <w:u w:val="single"/>
                      </w:rPr>
                      <w:t>https://doi.org/10.1787/9789264303959-en.</w:t>
                    </w:r>
                  </w:p>
                </w:tc>
                <w:tc>
                  <w:tcPr>
                    <w:tcW w:w="600" w:type="dxa"/>
                    <w:noWrap/>
                    <w:hideMark/>
                  </w:tcPr>
                  <w:p w:rsidR="00F86F21" w:rsidRDefault="00F86F21" w14:paraId="6C78A745" w14:textId="77777777">
                    <w:pPr>
                      <w:spacing w:before="100" w:beforeAutospacing="1" w:after="100" w:afterAutospacing="1"/>
                      <w:jc w:val="right"/>
                      <w:rPr>
                        <w:noProof/>
                      </w:rPr>
                    </w:pPr>
                    <w:r>
                      <w:rPr>
                        <w:noProof/>
                        <w:color w:val="000000"/>
                        <w:sz w:val="16"/>
                        <w:szCs w:val="16"/>
                      </w:rPr>
                      <w:t>[22]</w:t>
                    </w:r>
                  </w:p>
                </w:tc>
              </w:tr>
              <w:tr w:rsidR="00F86F21" w14:paraId="194B3FF9" w14:textId="77777777">
                <w:trPr>
                  <w:divId w:val="489105986"/>
                </w:trPr>
                <w:tc>
                  <w:tcPr>
                    <w:tcW w:w="0" w:type="auto"/>
                    <w:hideMark/>
                  </w:tcPr>
                  <w:p w:rsidR="00F86F21" w:rsidRDefault="00F86F21" w14:paraId="3F233297" w14:textId="77777777">
                    <w:pPr>
                      <w:pStyle w:val="Bibliography"/>
                      <w:rPr>
                        <w:noProof/>
                      </w:rPr>
                    </w:pPr>
                    <w:r>
                      <w:rPr>
                        <w:noProof/>
                      </w:rPr>
                      <w:t xml:space="preserve">OECD (Forthcoming), </w:t>
                    </w:r>
                    <w:r>
                      <w:rPr>
                        <w:i/>
                        <w:iCs/>
                        <w:noProof/>
                      </w:rPr>
                      <w:t>Serving Citizens Survey</w:t>
                    </w:r>
                    <w:r>
                      <w:rPr>
                        <w:noProof/>
                      </w:rPr>
                      <w:t>.</w:t>
                    </w:r>
                  </w:p>
                </w:tc>
                <w:tc>
                  <w:tcPr>
                    <w:tcW w:w="600" w:type="dxa"/>
                    <w:noWrap/>
                    <w:hideMark/>
                  </w:tcPr>
                  <w:p w:rsidR="00F86F21" w:rsidRDefault="00F86F21" w14:paraId="4458AF56" w14:textId="77777777">
                    <w:pPr>
                      <w:spacing w:before="100" w:beforeAutospacing="1" w:after="100" w:afterAutospacing="1"/>
                      <w:jc w:val="right"/>
                      <w:rPr>
                        <w:noProof/>
                      </w:rPr>
                    </w:pPr>
                    <w:r>
                      <w:rPr>
                        <w:noProof/>
                        <w:color w:val="000000"/>
                        <w:sz w:val="16"/>
                        <w:szCs w:val="16"/>
                      </w:rPr>
                      <w:t>[17]</w:t>
                    </w:r>
                  </w:p>
                </w:tc>
              </w:tr>
              <w:tr w:rsidR="00F86F21" w14:paraId="636DD890" w14:textId="77777777">
                <w:trPr>
                  <w:divId w:val="489105986"/>
                </w:trPr>
                <w:tc>
                  <w:tcPr>
                    <w:tcW w:w="0" w:type="auto"/>
                    <w:hideMark/>
                  </w:tcPr>
                  <w:p w:rsidR="00F86F21" w:rsidRDefault="00F86F21" w14:paraId="76E2031A" w14:textId="77777777">
                    <w:pPr>
                      <w:pStyle w:val="Bibliography"/>
                      <w:rPr>
                        <w:noProof/>
                      </w:rPr>
                    </w:pPr>
                    <w:r>
                      <w:rPr>
                        <w:noProof/>
                      </w:rPr>
                      <w:t xml:space="preserve">Slovenia’s Ministry of Higher Education, Science and Innovation (2025), </w:t>
                    </w:r>
                    <w:r>
                      <w:rPr>
                        <w:i/>
                        <w:iCs/>
                        <w:noProof/>
                      </w:rPr>
                      <w:t>eVŠ web portal</w:t>
                    </w:r>
                    <w:r>
                      <w:rPr>
                        <w:noProof/>
                      </w:rPr>
                      <w:t xml:space="preserve">, </w:t>
                    </w:r>
                    <w:r>
                      <w:rPr>
                        <w:noProof/>
                        <w:color w:val="0000FF"/>
                        <w:u w:val="single"/>
                      </w:rPr>
                      <w:t>http://portal.evs.gov.si/prijava/?locale=en</w:t>
                    </w:r>
                    <w:r>
                      <w:rPr>
                        <w:noProof/>
                      </w:rPr>
                      <w:t>.</w:t>
                    </w:r>
                  </w:p>
                </w:tc>
                <w:tc>
                  <w:tcPr>
                    <w:tcW w:w="600" w:type="dxa"/>
                    <w:noWrap/>
                    <w:hideMark/>
                  </w:tcPr>
                  <w:p w:rsidR="00F86F21" w:rsidRDefault="00F86F21" w14:paraId="579DFFDE" w14:textId="77777777">
                    <w:pPr>
                      <w:spacing w:before="100" w:beforeAutospacing="1" w:after="100" w:afterAutospacing="1"/>
                      <w:jc w:val="right"/>
                      <w:rPr>
                        <w:noProof/>
                      </w:rPr>
                    </w:pPr>
                    <w:r>
                      <w:rPr>
                        <w:noProof/>
                        <w:color w:val="000000"/>
                        <w:sz w:val="16"/>
                        <w:szCs w:val="16"/>
                      </w:rPr>
                      <w:t>[25]</w:t>
                    </w:r>
                  </w:p>
                </w:tc>
              </w:tr>
              <w:tr w:rsidR="00F86F21" w14:paraId="5453297E" w14:textId="77777777">
                <w:trPr>
                  <w:divId w:val="489105986"/>
                </w:trPr>
                <w:tc>
                  <w:tcPr>
                    <w:tcW w:w="0" w:type="auto"/>
                    <w:hideMark/>
                  </w:tcPr>
                  <w:p w:rsidR="00F86F21" w:rsidRDefault="00F86F21" w14:paraId="081A0241" w14:textId="77777777">
                    <w:pPr>
                      <w:pStyle w:val="Bibliography"/>
                      <w:rPr>
                        <w:noProof/>
                      </w:rPr>
                    </w:pPr>
                    <w:r>
                      <w:rPr>
                        <w:noProof/>
                      </w:rPr>
                      <w:t xml:space="preserve">State Revenue Service (2025), </w:t>
                    </w:r>
                    <w:r>
                      <w:rPr>
                        <w:i/>
                        <w:iCs/>
                        <w:noProof/>
                      </w:rPr>
                      <w:t>Personal Income Tax</w:t>
                    </w:r>
                    <w:r>
                      <w:rPr>
                        <w:noProof/>
                      </w:rPr>
                      <w:t xml:space="preserve">, </w:t>
                    </w:r>
                    <w:r>
                      <w:rPr>
                        <w:noProof/>
                        <w:color w:val="0000FF"/>
                        <w:u w:val="single"/>
                      </w:rPr>
                      <w:t>https://www.vid.gov.lv/en/personal-income-tax</w:t>
                    </w:r>
                    <w:r>
                      <w:rPr>
                        <w:noProof/>
                      </w:rPr>
                      <w:t>.</w:t>
                    </w:r>
                  </w:p>
                </w:tc>
                <w:tc>
                  <w:tcPr>
                    <w:tcW w:w="600" w:type="dxa"/>
                    <w:noWrap/>
                    <w:hideMark/>
                  </w:tcPr>
                  <w:p w:rsidR="00F86F21" w:rsidRDefault="00F86F21" w14:paraId="68D52757" w14:textId="77777777">
                    <w:pPr>
                      <w:spacing w:before="100" w:beforeAutospacing="1" w:after="100" w:afterAutospacing="1"/>
                      <w:jc w:val="right"/>
                      <w:rPr>
                        <w:noProof/>
                      </w:rPr>
                    </w:pPr>
                    <w:r>
                      <w:rPr>
                        <w:noProof/>
                        <w:color w:val="000000"/>
                        <w:sz w:val="16"/>
                        <w:szCs w:val="16"/>
                      </w:rPr>
                      <w:t>[12]</w:t>
                    </w:r>
                  </w:p>
                </w:tc>
              </w:tr>
            </w:tbl>
            <w:p w:rsidR="00F86F21" w:rsidRDefault="00F86F21" w14:paraId="156BAE67" w14:textId="77777777">
              <w:pPr>
                <w:divId w:val="489105986"/>
                <w:rPr>
                  <w:rFonts w:eastAsia="Times New Roman"/>
                  <w:noProof/>
                </w:rPr>
              </w:pPr>
            </w:p>
            <w:p w:rsidR="00DE0107" w:rsidRDefault="00DE0107" w14:paraId="4E86E026" w14:textId="5CE2BC27">
              <w:r>
                <w:rPr>
                  <w:b/>
                  <w:bCs/>
                  <w:noProof/>
                </w:rPr>
                <w:fldChar w:fldCharType="end"/>
              </w:r>
            </w:p>
          </w:sdtContent>
        </w:sdt>
      </w:sdtContent>
    </w:sdt>
    <w:p w:rsidRPr="00681C23" w:rsidR="00CF7128" w:rsidP="00681C23" w:rsidRDefault="00CF7128" w14:paraId="58D000A0" w14:textId="77777777">
      <w:pPr>
        <w:pStyle w:val="Para0"/>
      </w:pPr>
    </w:p>
    <w:sectPr w:rsidRPr="00681C23" w:rsidR="00CF7128" w:rsidSect="001B50F5">
      <w:headerReference w:type="even" r:id="rId105"/>
      <w:headerReference w:type="default" r:id="rId106"/>
      <w:footerReference w:type="even" r:id="rId107"/>
      <w:footerReference w:type="default" r:id="rId108"/>
      <w:headerReference w:type="first" r:id="rId109"/>
      <w:footerReference w:type="first" r:id="rId110"/>
      <w:endnotePr>
        <w:numFmt w:val="decimal"/>
        <w:numRestart w:val="eachSect"/>
      </w:endnotePr>
      <w:pgSz w:w="11906" w:h="16838" w:orient="portrait" w:code="9"/>
      <w:pgMar w:top="1814" w:right="1304" w:bottom="1758" w:left="1304" w:header="1247"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4383" w:rsidP="00CC3749" w:rsidRDefault="00584383" w14:paraId="3C055475" w14:textId="77777777"/>
  </w:endnote>
  <w:endnote w:type="continuationSeparator" w:id="0">
    <w:p w:rsidRPr="00CF4424" w:rsidR="00584383" w:rsidP="00CF4424" w:rsidRDefault="00584383" w14:paraId="2F3F398B" w14:textId="77777777">
      <w:pPr>
        <w:pStyle w:val="Footer"/>
        <w:jc w:val="both"/>
      </w:pPr>
    </w:p>
  </w:endnote>
  <w:endnote w:type="continuationNotice" w:id="1">
    <w:p w:rsidR="00584383" w:rsidRDefault="00584383" w14:paraId="41B1F99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tatLink">
    <w:altName w:val="Calibri"/>
    <w:panose1 w:val="02000000000000000000"/>
    <w:charset w:val="00"/>
    <w:family w:val="auto"/>
    <w:pitch w:val="variable"/>
    <w:sig w:usb0="8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44972" w:rsidP="004E100F" w:rsidRDefault="00144972" w14:paraId="067172D0" w14:textId="77777777">
    <w:pPr>
      <w:pStyle w:val="Footer"/>
      <w:jc w:val="right"/>
    </w:pPr>
    <w:r>
      <w:rPr>
        <w:noProof/>
      </w:rPr>
      <mc:AlternateContent>
        <mc:Choice Requires="wps">
          <w:drawing>
            <wp:anchor distT="0" distB="0" distL="0" distR="0" simplePos="0" relativeHeight="251658255" behindDoc="0" locked="0" layoutInCell="1" allowOverlap="1" wp14:anchorId="1F56D629" wp14:editId="61629E9C">
              <wp:simplePos x="828675" y="9734550"/>
              <wp:positionH relativeFrom="page">
                <wp:align>center</wp:align>
              </wp:positionH>
              <wp:positionV relativeFrom="page">
                <wp:align>bottom</wp:align>
              </wp:positionV>
              <wp:extent cx="1720215" cy="345440"/>
              <wp:effectExtent l="0" t="0" r="13335" b="0"/>
              <wp:wrapNone/>
              <wp:docPr id="576547515" name="Text Box 5"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20215" cy="345440"/>
                      </a:xfrm>
                      <a:prstGeom prst="rect">
                        <a:avLst/>
                      </a:prstGeom>
                      <a:noFill/>
                      <a:ln>
                        <a:noFill/>
                      </a:ln>
                    </wps:spPr>
                    <wps:txbx>
                      <w:txbxContent>
                        <w:p w:rsidRPr="00DB47D2" w:rsidR="00144972" w:rsidP="00DB47D2" w:rsidRDefault="00144972" w14:paraId="6BEDA9EB" w14:textId="77777777">
                          <w:pPr>
                            <w:rPr>
                              <w:rFonts w:ascii="Calibri" w:hAnsi="Calibri" w:eastAsia="Calibri" w:cs="Calibri"/>
                              <w:noProof/>
                              <w:color w:val="0000FF"/>
                              <w:sz w:val="20"/>
                              <w:szCs w:val="20"/>
                            </w:rPr>
                          </w:pPr>
                          <w:r w:rsidRPr="00DB47D2">
                            <w:rPr>
                              <w:rFonts w:ascii="Calibri" w:hAnsi="Calibri" w:eastAsia="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B480DFB">
            <v:shapetype id="_x0000_t202" coordsize="21600,21600" o:spt="202" path="m,l,21600r21600,l21600,xe" w14:anchorId="1F56D629">
              <v:stroke joinstyle="miter"/>
              <v:path gradientshapeok="t" o:connecttype="rect"/>
            </v:shapetype>
            <v:shape id="Text Box 5" style="position:absolute;left:0;text-align:left;margin-left:0;margin-top:0;width:135.45pt;height:27.2pt;z-index:251658255;visibility:visible;mso-wrap-style:none;mso-wrap-distance-left:0;mso-wrap-distance-top:0;mso-wrap-distance-right:0;mso-wrap-distance-bottom:0;mso-position-horizontal:center;mso-position-horizontal-relative:page;mso-position-vertical:bottom;mso-position-vertical-relative:page;v-text-anchor:bottom" alt="Restricted Use - À usage restreint"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">
              <v:textbox style="mso-fit-shape-to-text:t" inset="0,0,0,15pt">
                <w:txbxContent>
                  <w:p w:rsidRPr="00DB47D2" w:rsidR="00144972" w:rsidP="00DB47D2" w:rsidRDefault="00144972" w14:paraId="5186F8AF" w14:textId="77777777">
                    <w:pPr>
                      <w:rPr>
                        <w:rFonts w:ascii="Calibri" w:hAnsi="Calibri" w:eastAsia="Calibri" w:cs="Calibri"/>
                        <w:noProof/>
                        <w:color w:val="0000FF"/>
                        <w:sz w:val="20"/>
                        <w:szCs w:val="20"/>
                      </w:rPr>
                    </w:pPr>
                    <w:r w:rsidRPr="00DB47D2">
                      <w:rPr>
                        <w:rFonts w:ascii="Calibri" w:hAnsi="Calibri" w:eastAsia="Calibri" w:cs="Calibri"/>
                        <w:noProof/>
                        <w:color w:val="0000FF"/>
                        <w:sz w:val="20"/>
                        <w:szCs w:val="20"/>
                      </w:rPr>
                      <w:t>Restricted Use - À usage restreint</w:t>
                    </w:r>
                  </w:p>
                </w:txbxContent>
              </v:textbox>
              <w10:wrap anchorx="page" anchory="page"/>
            </v:shape>
          </w:pict>
        </mc:Fallback>
      </mc:AlternateContent>
    </w:r>
  </w:p>
  <w:sdt>
    <w:sdtPr>
      <w:alias w:val="Document Title"/>
      <w:tag w:val="FooterDocTitle"/>
      <w:id w:val="-1779013071"/>
      <w:placeholder>
        <w:docPart w:val="DefaultPlaceholder_1081868574"/>
      </w:placeholder>
    </w:sdtPr>
    <w:sdtEndPr/>
    <w:sdtContent>
      <w:p w:rsidR="00144972" w:rsidP="004E100F" w:rsidRDefault="00144972" w14:paraId="494E454B" w14:textId="77777777">
        <w:pPr>
          <w:pStyle w:val="Footer"/>
          <w:jc w:val="right"/>
        </w:pPr>
        <w:r>
          <w:t xml:space="preserve"> </w:t>
        </w:r>
      </w:p>
    </w:sdtContent>
  </w:sdt>
  <w:sdt>
    <w:sdtPr>
      <w:alias w:val="Classification"/>
      <w:tag w:val="txtHeaderClassif"/>
      <w:id w:val="-2107416004"/>
      <w:placeholder>
        <w:docPart w:val="DefaultPlaceholder_1081868574"/>
      </w:placeholder>
    </w:sdtPr>
    <w:sdtEndPr/>
    <w:sdtContent>
      <w:p w:rsidR="00144972" w:rsidP="004E100F" w:rsidRDefault="00144972" w14:paraId="5AC51CC5" w14:textId="77777777">
        <w:pPr>
          <w:pStyle w:val="FooterClassification"/>
          <w:jc w:val="left"/>
        </w:pPr>
        <w: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FD7BD8" w:rsidR="00144972" w:rsidP="004E100F" w:rsidRDefault="00144972" w14:paraId="741ACEA7" w14:textId="77777777">
    <w:pPr>
      <w:pStyle w:val="Footer"/>
      <w:jc w:val="left"/>
      <w:rPr>
        <w:caps w:val="0"/>
        <w:szCs w:val="16"/>
      </w:rPr>
    </w:pPr>
    <w:r>
      <w:rPr>
        <w:noProof/>
      </w:rPr>
      <mc:AlternateContent>
        <mc:Choice Requires="wps">
          <w:drawing>
            <wp:anchor distT="0" distB="0" distL="0" distR="0" simplePos="0" relativeHeight="251658256" behindDoc="0" locked="0" layoutInCell="1" allowOverlap="1" wp14:anchorId="1F6BBDF6" wp14:editId="03634071">
              <wp:simplePos x="828675" y="9734550"/>
              <wp:positionH relativeFrom="page">
                <wp:align>center</wp:align>
              </wp:positionH>
              <wp:positionV relativeFrom="page">
                <wp:align>bottom</wp:align>
              </wp:positionV>
              <wp:extent cx="1720215" cy="345440"/>
              <wp:effectExtent l="0" t="0" r="13335" b="0"/>
              <wp:wrapNone/>
              <wp:docPr id="1263908283" name="Text Box 6"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20215" cy="345440"/>
                      </a:xfrm>
                      <a:prstGeom prst="rect">
                        <a:avLst/>
                      </a:prstGeom>
                      <a:noFill/>
                      <a:ln>
                        <a:noFill/>
                      </a:ln>
                    </wps:spPr>
                    <wps:txbx>
                      <w:txbxContent>
                        <w:p w:rsidRPr="00DB47D2" w:rsidR="00144972" w:rsidP="00DB47D2" w:rsidRDefault="00144972" w14:paraId="6BA5E260" w14:textId="77777777">
                          <w:pPr>
                            <w:rPr>
                              <w:rFonts w:ascii="Calibri" w:hAnsi="Calibri" w:eastAsia="Calibri" w:cs="Calibri"/>
                              <w:noProof/>
                              <w:color w:val="0000FF"/>
                              <w:sz w:val="20"/>
                              <w:szCs w:val="20"/>
                            </w:rPr>
                          </w:pPr>
                          <w:r w:rsidRPr="00DB47D2">
                            <w:rPr>
                              <w:rFonts w:ascii="Calibri" w:hAnsi="Calibri" w:eastAsia="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3481D523">
            <v:shapetype id="_x0000_t202" coordsize="21600,21600" o:spt="202" path="m,l,21600r21600,l21600,xe" w14:anchorId="1F6BBDF6">
              <v:stroke joinstyle="miter"/>
              <v:path gradientshapeok="t" o:connecttype="rect"/>
            </v:shapetype>
            <v:shape id="_x0000_s1029" style="position:absolute;margin-left:0;margin-top:0;width:135.45pt;height:27.2pt;z-index:251658256;visibility:visible;mso-wrap-style:none;mso-wrap-distance-left:0;mso-wrap-distance-top:0;mso-wrap-distance-right:0;mso-wrap-distance-bottom:0;mso-position-horizontal:center;mso-position-horizontal-relative:page;mso-position-vertical:bottom;mso-position-vertical-relative:page;v-text-anchor:bottom" alt="Restricted Use - À usage restreint"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">
              <v:textbox style="mso-fit-shape-to-text:t" inset="0,0,0,15pt">
                <w:txbxContent>
                  <w:p w:rsidRPr="00DB47D2" w:rsidR="00144972" w:rsidP="00DB47D2" w:rsidRDefault="00144972" w14:paraId="7C96109F" w14:textId="77777777">
                    <w:pPr>
                      <w:rPr>
                        <w:rFonts w:ascii="Calibri" w:hAnsi="Calibri" w:eastAsia="Calibri" w:cs="Calibri"/>
                        <w:noProof/>
                        <w:color w:val="0000FF"/>
                        <w:sz w:val="20"/>
                        <w:szCs w:val="20"/>
                      </w:rPr>
                    </w:pPr>
                    <w:r w:rsidRPr="00DB47D2">
                      <w:rPr>
                        <w:rFonts w:ascii="Calibri" w:hAnsi="Calibri" w:eastAsia="Calibri" w:cs="Calibri"/>
                        <w:noProof/>
                        <w:color w:val="0000FF"/>
                        <w:sz w:val="20"/>
                        <w:szCs w:val="20"/>
                      </w:rPr>
                      <w:t>Restricted Use - À usage restreint</w:t>
                    </w:r>
                  </w:p>
                </w:txbxContent>
              </v:textbox>
              <w10:wrap anchorx="page" anchory="page"/>
            </v:shape>
          </w:pict>
        </mc:Fallback>
      </mc:AlternateContent>
    </w:r>
  </w:p>
  <w:sdt>
    <w:sdtPr>
      <w:alias w:val="Document Title"/>
      <w:tag w:val="FooterDocTitle"/>
      <w:id w:val="-140962252"/>
      <w:placeholder>
        <w:docPart w:val="DefaultPlaceholder_1081868574"/>
      </w:placeholder>
    </w:sdtPr>
    <w:sdtEndPr/>
    <w:sdtContent>
      <w:p w:rsidRPr="00FD7BD8" w:rsidR="00144972" w:rsidP="004E100F" w:rsidRDefault="00144972" w14:paraId="4376E56A" w14:textId="77777777">
        <w:pPr>
          <w:pStyle w:val="Footer"/>
          <w:jc w:val="left"/>
          <w:rPr>
            <w:caps w:val="0"/>
            <w:szCs w:val="16"/>
          </w:rPr>
        </w:pPr>
        <w:r>
          <w:t xml:space="preserve"> </w:t>
        </w:r>
      </w:p>
    </w:sdtContent>
  </w:sdt>
  <w:sdt>
    <w:sdtPr>
      <w:alias w:val="Classification"/>
      <w:tag w:val="txtHeaderClassif"/>
      <w:id w:val="129756625"/>
      <w:placeholder>
        <w:docPart w:val="DefaultPlaceholder_1081868574"/>
      </w:placeholder>
    </w:sdtPr>
    <w:sdtEndPr/>
    <w:sdtContent>
      <w:p w:rsidRPr="00FD7BD8" w:rsidR="00144972" w:rsidP="004E100F" w:rsidRDefault="00144972" w14:paraId="434BDA04" w14:textId="77777777">
        <w:pPr>
          <w:pStyle w:val="FooterClassification"/>
          <w:rPr>
            <w:szCs w:val="16"/>
          </w:rPr>
        </w:pPr>
        <w: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44972" w:rsidRDefault="00144972" w14:paraId="6A1CE4F6" w14:textId="77777777">
    <w:pPr>
      <w:pStyle w:val="Footer"/>
    </w:pPr>
    <w:r>
      <w:rPr>
        <w:noProof/>
      </w:rPr>
      <mc:AlternateContent>
        <mc:Choice Requires="wps">
          <w:drawing>
            <wp:anchor distT="0" distB="0" distL="0" distR="0" simplePos="0" relativeHeight="251658257" behindDoc="0" locked="0" layoutInCell="1" allowOverlap="1" wp14:anchorId="11ABD9C3" wp14:editId="08CDD5DA">
              <wp:simplePos x="635" y="635"/>
              <wp:positionH relativeFrom="page">
                <wp:align>center</wp:align>
              </wp:positionH>
              <wp:positionV relativeFrom="page">
                <wp:align>bottom</wp:align>
              </wp:positionV>
              <wp:extent cx="1720215" cy="345440"/>
              <wp:effectExtent l="0" t="0" r="13335" b="0"/>
              <wp:wrapNone/>
              <wp:docPr id="1869731781" name="Text Box 4"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20215" cy="345440"/>
                      </a:xfrm>
                      <a:prstGeom prst="rect">
                        <a:avLst/>
                      </a:prstGeom>
                      <a:noFill/>
                      <a:ln>
                        <a:noFill/>
                      </a:ln>
                    </wps:spPr>
                    <wps:txbx>
                      <w:txbxContent>
                        <w:p w:rsidRPr="00DB47D2" w:rsidR="00144972" w:rsidP="00DB47D2" w:rsidRDefault="00144972" w14:paraId="1C9FBE8A" w14:textId="77777777">
                          <w:pPr>
                            <w:rPr>
                              <w:rFonts w:ascii="Calibri" w:hAnsi="Calibri" w:eastAsia="Calibri" w:cs="Calibri"/>
                              <w:noProof/>
                              <w:color w:val="0000FF"/>
                              <w:sz w:val="20"/>
                              <w:szCs w:val="20"/>
                            </w:rPr>
                          </w:pPr>
                          <w:r w:rsidRPr="00DB47D2">
                            <w:rPr>
                              <w:rFonts w:ascii="Calibri" w:hAnsi="Calibri" w:eastAsia="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E131C1E">
            <v:shapetype id="_x0000_t202" coordsize="21600,21600" o:spt="202" path="m,l,21600r21600,l21600,xe" w14:anchorId="11ABD9C3">
              <v:stroke joinstyle="miter"/>
              <v:path gradientshapeok="t" o:connecttype="rect"/>
            </v:shapetype>
            <v:shape id="Text Box 4" style="position:absolute;left:0;text-align:left;margin-left:0;margin-top:0;width:135.45pt;height:27.2pt;z-index:251658257;visibility:visible;mso-wrap-style:none;mso-wrap-distance-left:0;mso-wrap-distance-top:0;mso-wrap-distance-right:0;mso-wrap-distance-bottom:0;mso-position-horizontal:center;mso-position-horizontal-relative:page;mso-position-vertical:bottom;mso-position-vertical-relative:page;v-text-anchor:bottom" alt="Restricted Use - À usage restreint"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">
              <v:textbox style="mso-fit-shape-to-text:t" inset="0,0,0,15pt">
                <w:txbxContent>
                  <w:p w:rsidRPr="00DB47D2" w:rsidR="00144972" w:rsidP="00DB47D2" w:rsidRDefault="00144972" w14:paraId="20028B84" w14:textId="77777777">
                    <w:pPr>
                      <w:rPr>
                        <w:rFonts w:ascii="Calibri" w:hAnsi="Calibri" w:eastAsia="Calibri" w:cs="Calibri"/>
                        <w:noProof/>
                        <w:color w:val="0000FF"/>
                        <w:sz w:val="20"/>
                        <w:szCs w:val="20"/>
                      </w:rPr>
                    </w:pPr>
                    <w:r w:rsidRPr="00DB47D2">
                      <w:rPr>
                        <w:rFonts w:ascii="Calibri" w:hAnsi="Calibri" w:eastAsia="Calibri" w:cs="Calibri"/>
                        <w:noProof/>
                        <w:color w:val="0000FF"/>
                        <w:sz w:val="20"/>
                        <w:szCs w:val="20"/>
                      </w:rPr>
                      <w:t>Restricted Use - À usage restreint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4383" w:rsidP="00CC3749" w:rsidRDefault="00584383" w14:paraId="42700BBB" w14:textId="77777777">
      <w:r>
        <w:separator/>
      </w:r>
    </w:p>
  </w:footnote>
  <w:footnote w:type="continuationSeparator" w:id="0">
    <w:p w:rsidR="00584383" w:rsidP="00CC3749" w:rsidRDefault="00584383" w14:paraId="20D08821" w14:textId="77777777">
      <w:r>
        <w:continuationSeparator/>
      </w:r>
    </w:p>
  </w:footnote>
  <w:footnote w:type="continuationNotice" w:id="1">
    <w:p w:rsidR="00584383" w:rsidRDefault="00584383" w14:paraId="43754E5F" w14:textId="77777777"/>
  </w:footnote>
  <w:footnote w:id="2">
    <w:p w:rsidR="00BF3088" w:rsidP="00BF3088" w:rsidRDefault="00BF3088" w14:paraId="50860D62" w14:textId="34DD9C1A">
      <w:pPr>
        <w:pStyle w:val="FootnoteText"/>
      </w:pPr>
      <w:r>
        <w:rPr>
          <w:rStyle w:val="FootnoteReference"/>
        </w:rPr>
        <w:footnoteRef/>
      </w:r>
      <w:r>
        <w:t xml:space="preserve"> For the purposes of the TSI Satisfaction Survey, a ‘user’ refers to an individual who experienced one or more of the 15 Life Events over the preceding 12</w:t>
      </w:r>
      <w:r w:rsidR="003347FF">
        <w:t>-</w:t>
      </w:r>
      <w:r>
        <w:t xml:space="preserve">month period and who undertook concrete actions to access and receive services. A ‘non-user’ refers to an individual who experienced one or more of the 15 Life Events over the preceding 12-month period but who did not undertake any concrete actions to access and receive services. </w:t>
      </w:r>
    </w:p>
  </w:footnote>
  <w:footnote w:id="3">
    <w:p w:rsidRPr="0008214E" w:rsidR="0008214E" w:rsidRDefault="0008214E" w14:paraId="19CFEA90" w14:textId="0D986CAB">
      <w:pPr>
        <w:pStyle w:val="FootnoteText"/>
      </w:pPr>
      <w:r>
        <w:rPr>
          <w:rStyle w:val="FootnoteReference"/>
        </w:rPr>
        <w:footnoteRef/>
      </w:r>
      <w:r>
        <w:t xml:space="preserve"> Questioning citizens on whether they </w:t>
      </w:r>
      <w:r w:rsidR="0048371B">
        <w:t xml:space="preserve">are satisfied with how services work together may lead to differences in interpretation. Citizens may not have the same understanding of how services work together, depending on how they access services and how much interaction they had with different public service actors. </w:t>
      </w:r>
    </w:p>
  </w:footnote>
  <w:footnote w:id="4">
    <w:p w:rsidR="005A2C5A" w:rsidP="005A2C5A" w:rsidRDefault="005A2C5A" w14:paraId="1E07A71F" w14:textId="55E0148C">
      <w:pPr>
        <w:pStyle w:val="FootnoteText"/>
      </w:pPr>
      <w:r>
        <w:rPr>
          <w:rStyle w:val="FootnoteReference"/>
        </w:rPr>
        <w:footnoteRef/>
      </w:r>
      <w:r>
        <w:t xml:space="preserve"> Available at: </w:t>
      </w:r>
      <w:r w:rsidRPr="004A6F37">
        <w:t>https://en.mitos.gov.gr/index.php/Main_Page</w:t>
      </w:r>
      <w:r w:rsidR="00DA10EB">
        <w:t>.</w:t>
      </w:r>
    </w:p>
  </w:footnote>
  <w:footnote w:id="5">
    <w:p w:rsidR="005A2C5A" w:rsidP="005A2C5A" w:rsidRDefault="005A2C5A" w14:paraId="26A30144" w14:textId="4E41240D">
      <w:pPr>
        <w:pStyle w:val="FootnoteText"/>
      </w:pPr>
      <w:r>
        <w:rPr>
          <w:rStyle w:val="FootnoteReference"/>
        </w:rPr>
        <w:footnoteRef/>
      </w:r>
      <w:r>
        <w:t xml:space="preserve"> Available at: </w:t>
      </w:r>
      <w:r w:rsidRPr="00626A68">
        <w:t>https://www.gov.pt/</w:t>
      </w:r>
      <w:r w:rsidR="00DA10EB">
        <w:t>/</w:t>
      </w:r>
    </w:p>
  </w:footnote>
  <w:footnote w:id="6">
    <w:p w:rsidR="005A2C5A" w:rsidP="005A2C5A" w:rsidRDefault="005A2C5A" w14:paraId="56745F99" w14:textId="77777777">
      <w:pPr>
        <w:pStyle w:val="FootnoteText"/>
      </w:pPr>
      <w:r>
        <w:rPr>
          <w:rStyle w:val="FootnoteReference"/>
        </w:rPr>
        <w:footnoteRef/>
      </w:r>
      <w:r>
        <w:t xml:space="preserve"> OECD (forthcoming, 2026) “Experimenting with digital tools to enhance regulatory delivery: case studies from Italian regions”, OECD Working Paper.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4972" w:rsidP="004E100F" w:rsidRDefault="00543B3D" w14:paraId="1798A39C" w14:textId="6473756B">
    <w:pPr>
      <w:pStyle w:val="Header"/>
    </w:pPr>
    <w:sdt>
      <w:sdtPr>
        <w:rPr>
          <w:rStyle w:val="PageNumber"/>
        </w:rPr>
        <w:alias w:val="Page Number"/>
        <w:tag w:val="TxtPageNumber"/>
        <w:id w:val="-1074817915"/>
      </w:sdtPr>
      <w:sdtEndPr>
        <w:rPr>
          <w:rStyle w:val="DefaultParagraphFont"/>
          <w:b w:val="0"/>
        </w:rPr>
      </w:sdtEndPr>
      <w:sdtContent>
        <w:r w:rsidRPr="00CC3749" w:rsidR="00144972">
          <w:rPr>
            <w:rStyle w:val="PageNumber"/>
          </w:rPr>
          <w:fldChar w:fldCharType="begin"/>
        </w:r>
        <w:r w:rsidRPr="00CC3749" w:rsidR="00144972">
          <w:rPr>
            <w:rStyle w:val="PageNumber"/>
          </w:rPr>
          <w:instrText xml:space="preserve"> PAGE   \* MERGEFORMAT </w:instrText>
        </w:r>
        <w:r w:rsidRPr="00CC3749" w:rsidR="00144972">
          <w:rPr>
            <w:rStyle w:val="PageNumber"/>
          </w:rPr>
          <w:fldChar w:fldCharType="separate"/>
        </w:r>
        <w:r w:rsidR="00144972">
          <w:rPr>
            <w:rStyle w:val="PageNumber"/>
            <w:noProof/>
          </w:rPr>
          <w:t>2</w:t>
        </w:r>
        <w:r w:rsidRPr="00CC3749" w:rsidR="00144972">
          <w:rPr>
            <w:rStyle w:val="PageNumber"/>
            <w:noProof/>
          </w:rPr>
          <w:fldChar w:fldCharType="end"/>
        </w:r>
      </w:sdtContent>
    </w:sdt>
    <w:r w:rsidR="00144972">
      <w:t xml:space="preserve"> </w:t>
    </w:r>
    <w:r w:rsidR="00144972">
      <w:rPr>
        <w:rFonts w:ascii="Symbol" w:hAnsi="Symbol" w:eastAsia="Symbol" w:cs="Symbol"/>
      </w:rPr>
      <w:t>|</w:t>
    </w:r>
    <w:r w:rsidR="00144972">
      <w:t xml:space="preserve"> </w:t>
    </w:r>
    <w:sdt>
      <w:sdtPr>
        <w:rPr>
          <w:rStyle w:val="HeaderTitle"/>
        </w:rPr>
        <w:alias w:val="Cote/Chapter"/>
        <w:tag w:val="txtHeaderValue"/>
        <w:id w:val="587577808"/>
      </w:sdtPr>
      <w:sdtEndPr>
        <w:rPr>
          <w:rStyle w:val="DefaultParagraphFont"/>
          <w:caps w:val="0"/>
          <w:sz w:val="22"/>
        </w:rPr>
      </w:sdtEndPr>
      <w:sdtContent>
        <w:r w:rsidR="00144972">
          <w:rPr>
            <w:rStyle w:val="HeaderTitle"/>
          </w:rPr>
          <w:t xml:space="preserve"> </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4972" w:rsidP="004E100F" w:rsidRDefault="00543B3D" w14:paraId="29D87A00" w14:textId="3C6C692E">
    <w:pPr>
      <w:pStyle w:val="Header"/>
      <w:jc w:val="right"/>
    </w:pPr>
    <w:sdt>
      <w:sdtPr>
        <w:rPr>
          <w:rStyle w:val="HeaderTitle"/>
        </w:rPr>
        <w:alias w:val="Cote/Chapter"/>
        <w:tag w:val="txtHeaderValue"/>
        <w:id w:val="-793058521"/>
      </w:sdtPr>
      <w:sdtEndPr>
        <w:rPr>
          <w:rStyle w:val="DefaultParagraphFont"/>
          <w:caps w:val="0"/>
          <w:sz w:val="22"/>
        </w:rPr>
      </w:sdtEndPr>
      <w:sdtContent>
        <w:r w:rsidR="00144972">
          <w:rPr>
            <w:rStyle w:val="HeaderTitle"/>
          </w:rPr>
          <w:t xml:space="preserve"> </w:t>
        </w:r>
      </w:sdtContent>
    </w:sdt>
    <w:r w:rsidR="00144972">
      <w:rPr>
        <w:rStyle w:val="PageNumber"/>
      </w:rPr>
      <w:t xml:space="preserve"> </w:t>
    </w:r>
    <w:r w:rsidR="00144972">
      <w:rPr>
        <w:rStyle w:val="PageNumber"/>
        <w:rFonts w:ascii="Symbol" w:hAnsi="Symbol" w:eastAsia="Symbol" w:cs="Symbol"/>
      </w:rPr>
      <w:t>|</w:t>
    </w:r>
    <w:r w:rsidR="00144972">
      <w:rPr>
        <w:rStyle w:val="PageNumber"/>
      </w:rPr>
      <w:t xml:space="preserve"> </w:t>
    </w:r>
    <w:sdt>
      <w:sdtPr>
        <w:rPr>
          <w:rStyle w:val="PageNumber"/>
        </w:rPr>
        <w:alias w:val="Page Number"/>
        <w:tag w:val="TxtPageNumber"/>
        <w:id w:val="-1405685413"/>
      </w:sdtPr>
      <w:sdtEndPr>
        <w:rPr>
          <w:rStyle w:val="DefaultParagraphFont"/>
          <w:b w:val="0"/>
        </w:rPr>
      </w:sdtEndPr>
      <w:sdtContent>
        <w:r w:rsidRPr="00CC3749" w:rsidR="00144972">
          <w:rPr>
            <w:rStyle w:val="PageNumber"/>
          </w:rPr>
          <w:fldChar w:fldCharType="begin"/>
        </w:r>
        <w:r w:rsidRPr="00CC3749" w:rsidR="00144972">
          <w:rPr>
            <w:rStyle w:val="PageNumber"/>
          </w:rPr>
          <w:instrText xml:space="preserve"> PAGE   \* MERGEFORMAT </w:instrText>
        </w:r>
        <w:r w:rsidRPr="00CC3749" w:rsidR="00144972">
          <w:rPr>
            <w:rStyle w:val="PageNumber"/>
          </w:rPr>
          <w:fldChar w:fldCharType="separate"/>
        </w:r>
        <w:r w:rsidR="00144972">
          <w:rPr>
            <w:rStyle w:val="PageNumber"/>
            <w:noProof/>
          </w:rPr>
          <w:t>3</w:t>
        </w:r>
        <w:r w:rsidRPr="00CC3749" w:rsidR="00144972">
          <w:rPr>
            <w:rStyle w:val="PageNumber"/>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71EE" w:rsidRDefault="000B71EE" w14:paraId="62C53146" w14:textId="0C66F2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28029B8"/>
    <w:lvl w:ilvl="0">
      <w:start w:val="1"/>
      <w:numFmt w:val="decimal"/>
      <w:lvlText w:val="%1."/>
      <w:lvlJc w:val="left"/>
      <w:pPr>
        <w:tabs>
          <w:tab w:val="num" w:pos="643"/>
        </w:tabs>
        <w:ind w:left="643" w:hanging="360"/>
      </w:pPr>
    </w:lvl>
  </w:abstractNum>
  <w:abstractNum w:abstractNumId="1" w15:restartNumberingAfterBreak="0">
    <w:nsid w:val="FFFFFF88"/>
    <w:multiLevelType w:val="singleLevel"/>
    <w:tmpl w:val="CD8ABA60"/>
    <w:lvl w:ilvl="0">
      <w:start w:val="1"/>
      <w:numFmt w:val="decimal"/>
      <w:lvlText w:val="%1."/>
      <w:lvlJc w:val="left"/>
      <w:pPr>
        <w:tabs>
          <w:tab w:val="num" w:pos="360"/>
        </w:tabs>
        <w:ind w:left="360" w:hanging="360"/>
      </w:pPr>
    </w:lvl>
  </w:abstractNum>
  <w:abstractNum w:abstractNumId="2" w15:restartNumberingAfterBreak="0">
    <w:nsid w:val="00E34058"/>
    <w:multiLevelType w:val="hybridMultilevel"/>
    <w:tmpl w:val="655CE55C"/>
    <w:lvl w:ilvl="0" w:tplc="B20E6F86">
      <w:start w:val="1"/>
      <w:numFmt w:val="bullet"/>
      <w:lvlText w:val="-"/>
      <w:lvlJc w:val="left"/>
      <w:pPr>
        <w:tabs>
          <w:tab w:val="num" w:pos="720"/>
        </w:tabs>
        <w:ind w:left="720" w:hanging="360"/>
      </w:pPr>
      <w:rPr>
        <w:rFonts w:hint="default" w:ascii="Arial" w:hAnsi="Arial"/>
      </w:rPr>
    </w:lvl>
    <w:lvl w:ilvl="1" w:tplc="035057CE" w:tentative="1">
      <w:start w:val="1"/>
      <w:numFmt w:val="bullet"/>
      <w:lvlText w:val="-"/>
      <w:lvlJc w:val="left"/>
      <w:pPr>
        <w:tabs>
          <w:tab w:val="num" w:pos="1440"/>
        </w:tabs>
        <w:ind w:left="1440" w:hanging="360"/>
      </w:pPr>
      <w:rPr>
        <w:rFonts w:hint="default" w:ascii="Arial" w:hAnsi="Arial"/>
      </w:rPr>
    </w:lvl>
    <w:lvl w:ilvl="2" w:tplc="CE4CE9D6" w:tentative="1">
      <w:start w:val="1"/>
      <w:numFmt w:val="bullet"/>
      <w:lvlText w:val="-"/>
      <w:lvlJc w:val="left"/>
      <w:pPr>
        <w:tabs>
          <w:tab w:val="num" w:pos="2160"/>
        </w:tabs>
        <w:ind w:left="2160" w:hanging="360"/>
      </w:pPr>
      <w:rPr>
        <w:rFonts w:hint="default" w:ascii="Arial" w:hAnsi="Arial"/>
      </w:rPr>
    </w:lvl>
    <w:lvl w:ilvl="3" w:tplc="651C3CA8" w:tentative="1">
      <w:start w:val="1"/>
      <w:numFmt w:val="bullet"/>
      <w:lvlText w:val="-"/>
      <w:lvlJc w:val="left"/>
      <w:pPr>
        <w:tabs>
          <w:tab w:val="num" w:pos="2880"/>
        </w:tabs>
        <w:ind w:left="2880" w:hanging="360"/>
      </w:pPr>
      <w:rPr>
        <w:rFonts w:hint="default" w:ascii="Arial" w:hAnsi="Arial"/>
      </w:rPr>
    </w:lvl>
    <w:lvl w:ilvl="4" w:tplc="7996EB08" w:tentative="1">
      <w:start w:val="1"/>
      <w:numFmt w:val="bullet"/>
      <w:lvlText w:val="-"/>
      <w:lvlJc w:val="left"/>
      <w:pPr>
        <w:tabs>
          <w:tab w:val="num" w:pos="3600"/>
        </w:tabs>
        <w:ind w:left="3600" w:hanging="360"/>
      </w:pPr>
      <w:rPr>
        <w:rFonts w:hint="default" w:ascii="Arial" w:hAnsi="Arial"/>
      </w:rPr>
    </w:lvl>
    <w:lvl w:ilvl="5" w:tplc="10280BCE" w:tentative="1">
      <w:start w:val="1"/>
      <w:numFmt w:val="bullet"/>
      <w:lvlText w:val="-"/>
      <w:lvlJc w:val="left"/>
      <w:pPr>
        <w:tabs>
          <w:tab w:val="num" w:pos="4320"/>
        </w:tabs>
        <w:ind w:left="4320" w:hanging="360"/>
      </w:pPr>
      <w:rPr>
        <w:rFonts w:hint="default" w:ascii="Arial" w:hAnsi="Arial"/>
      </w:rPr>
    </w:lvl>
    <w:lvl w:ilvl="6" w:tplc="27DEB526" w:tentative="1">
      <w:start w:val="1"/>
      <w:numFmt w:val="bullet"/>
      <w:lvlText w:val="-"/>
      <w:lvlJc w:val="left"/>
      <w:pPr>
        <w:tabs>
          <w:tab w:val="num" w:pos="5040"/>
        </w:tabs>
        <w:ind w:left="5040" w:hanging="360"/>
      </w:pPr>
      <w:rPr>
        <w:rFonts w:hint="default" w:ascii="Arial" w:hAnsi="Arial"/>
      </w:rPr>
    </w:lvl>
    <w:lvl w:ilvl="7" w:tplc="1292CB42" w:tentative="1">
      <w:start w:val="1"/>
      <w:numFmt w:val="bullet"/>
      <w:lvlText w:val="-"/>
      <w:lvlJc w:val="left"/>
      <w:pPr>
        <w:tabs>
          <w:tab w:val="num" w:pos="5760"/>
        </w:tabs>
        <w:ind w:left="5760" w:hanging="360"/>
      </w:pPr>
      <w:rPr>
        <w:rFonts w:hint="default" w:ascii="Arial" w:hAnsi="Arial"/>
      </w:rPr>
    </w:lvl>
    <w:lvl w:ilvl="8" w:tplc="4898863E"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199090C"/>
    <w:multiLevelType w:val="hybridMultilevel"/>
    <w:tmpl w:val="6364597E"/>
    <w:lvl w:ilvl="0" w:tplc="97704E5E">
      <w:start w:val="1"/>
      <w:numFmt w:val="bullet"/>
      <w:lvlText w:val="•"/>
      <w:lvlJc w:val="left"/>
      <w:pPr>
        <w:tabs>
          <w:tab w:val="num" w:pos="720"/>
        </w:tabs>
        <w:ind w:left="720" w:hanging="360"/>
      </w:pPr>
      <w:rPr>
        <w:rFonts w:hint="default" w:ascii="Arial" w:hAnsi="Arial"/>
      </w:rPr>
    </w:lvl>
    <w:lvl w:ilvl="1" w:tplc="E1F29BE8">
      <w:start w:val="1"/>
      <w:numFmt w:val="bullet"/>
      <w:lvlText w:val="•"/>
      <w:lvlJc w:val="left"/>
      <w:pPr>
        <w:tabs>
          <w:tab w:val="num" w:pos="1440"/>
        </w:tabs>
        <w:ind w:left="1440" w:hanging="360"/>
      </w:pPr>
      <w:rPr>
        <w:rFonts w:hint="default" w:ascii="Arial" w:hAnsi="Arial"/>
      </w:rPr>
    </w:lvl>
    <w:lvl w:ilvl="2" w:tplc="A3C8B84E" w:tentative="1">
      <w:start w:val="1"/>
      <w:numFmt w:val="bullet"/>
      <w:lvlText w:val="•"/>
      <w:lvlJc w:val="left"/>
      <w:pPr>
        <w:tabs>
          <w:tab w:val="num" w:pos="2160"/>
        </w:tabs>
        <w:ind w:left="2160" w:hanging="360"/>
      </w:pPr>
      <w:rPr>
        <w:rFonts w:hint="default" w:ascii="Arial" w:hAnsi="Arial"/>
      </w:rPr>
    </w:lvl>
    <w:lvl w:ilvl="3" w:tplc="F90CEE94" w:tentative="1">
      <w:start w:val="1"/>
      <w:numFmt w:val="bullet"/>
      <w:lvlText w:val="•"/>
      <w:lvlJc w:val="left"/>
      <w:pPr>
        <w:tabs>
          <w:tab w:val="num" w:pos="2880"/>
        </w:tabs>
        <w:ind w:left="2880" w:hanging="360"/>
      </w:pPr>
      <w:rPr>
        <w:rFonts w:hint="default" w:ascii="Arial" w:hAnsi="Arial"/>
      </w:rPr>
    </w:lvl>
    <w:lvl w:ilvl="4" w:tplc="615EE478" w:tentative="1">
      <w:start w:val="1"/>
      <w:numFmt w:val="bullet"/>
      <w:lvlText w:val="•"/>
      <w:lvlJc w:val="left"/>
      <w:pPr>
        <w:tabs>
          <w:tab w:val="num" w:pos="3600"/>
        </w:tabs>
        <w:ind w:left="3600" w:hanging="360"/>
      </w:pPr>
      <w:rPr>
        <w:rFonts w:hint="default" w:ascii="Arial" w:hAnsi="Arial"/>
      </w:rPr>
    </w:lvl>
    <w:lvl w:ilvl="5" w:tplc="4A9CB94E" w:tentative="1">
      <w:start w:val="1"/>
      <w:numFmt w:val="bullet"/>
      <w:lvlText w:val="•"/>
      <w:lvlJc w:val="left"/>
      <w:pPr>
        <w:tabs>
          <w:tab w:val="num" w:pos="4320"/>
        </w:tabs>
        <w:ind w:left="4320" w:hanging="360"/>
      </w:pPr>
      <w:rPr>
        <w:rFonts w:hint="default" w:ascii="Arial" w:hAnsi="Arial"/>
      </w:rPr>
    </w:lvl>
    <w:lvl w:ilvl="6" w:tplc="7DCA1894" w:tentative="1">
      <w:start w:val="1"/>
      <w:numFmt w:val="bullet"/>
      <w:lvlText w:val="•"/>
      <w:lvlJc w:val="left"/>
      <w:pPr>
        <w:tabs>
          <w:tab w:val="num" w:pos="5040"/>
        </w:tabs>
        <w:ind w:left="5040" w:hanging="360"/>
      </w:pPr>
      <w:rPr>
        <w:rFonts w:hint="default" w:ascii="Arial" w:hAnsi="Arial"/>
      </w:rPr>
    </w:lvl>
    <w:lvl w:ilvl="7" w:tplc="43101CAC" w:tentative="1">
      <w:start w:val="1"/>
      <w:numFmt w:val="bullet"/>
      <w:lvlText w:val="•"/>
      <w:lvlJc w:val="left"/>
      <w:pPr>
        <w:tabs>
          <w:tab w:val="num" w:pos="5760"/>
        </w:tabs>
        <w:ind w:left="5760" w:hanging="360"/>
      </w:pPr>
      <w:rPr>
        <w:rFonts w:hint="default" w:ascii="Arial" w:hAnsi="Arial"/>
      </w:rPr>
    </w:lvl>
    <w:lvl w:ilvl="8" w:tplc="6096AFE6"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068F5C80"/>
    <w:multiLevelType w:val="hybridMultilevel"/>
    <w:tmpl w:val="D00ACED4"/>
    <w:lvl w:ilvl="0" w:tplc="346A187A">
      <w:start w:val="1"/>
      <w:numFmt w:val="bullet"/>
      <w:lvlText w:val="-"/>
      <w:lvlJc w:val="left"/>
      <w:pPr>
        <w:tabs>
          <w:tab w:val="num" w:pos="720"/>
        </w:tabs>
        <w:ind w:left="720" w:hanging="360"/>
      </w:pPr>
      <w:rPr>
        <w:rFonts w:hint="default" w:ascii="Arial" w:hAnsi="Arial"/>
      </w:rPr>
    </w:lvl>
    <w:lvl w:ilvl="1" w:tplc="801ADB38" w:tentative="1">
      <w:start w:val="1"/>
      <w:numFmt w:val="bullet"/>
      <w:lvlText w:val="-"/>
      <w:lvlJc w:val="left"/>
      <w:pPr>
        <w:tabs>
          <w:tab w:val="num" w:pos="1440"/>
        </w:tabs>
        <w:ind w:left="1440" w:hanging="360"/>
      </w:pPr>
      <w:rPr>
        <w:rFonts w:hint="default" w:ascii="Arial" w:hAnsi="Arial"/>
      </w:rPr>
    </w:lvl>
    <w:lvl w:ilvl="2" w:tplc="9830135C" w:tentative="1">
      <w:start w:val="1"/>
      <w:numFmt w:val="bullet"/>
      <w:lvlText w:val="-"/>
      <w:lvlJc w:val="left"/>
      <w:pPr>
        <w:tabs>
          <w:tab w:val="num" w:pos="2160"/>
        </w:tabs>
        <w:ind w:left="2160" w:hanging="360"/>
      </w:pPr>
      <w:rPr>
        <w:rFonts w:hint="default" w:ascii="Arial" w:hAnsi="Arial"/>
      </w:rPr>
    </w:lvl>
    <w:lvl w:ilvl="3" w:tplc="2B7A2B52" w:tentative="1">
      <w:start w:val="1"/>
      <w:numFmt w:val="bullet"/>
      <w:lvlText w:val="-"/>
      <w:lvlJc w:val="left"/>
      <w:pPr>
        <w:tabs>
          <w:tab w:val="num" w:pos="2880"/>
        </w:tabs>
        <w:ind w:left="2880" w:hanging="360"/>
      </w:pPr>
      <w:rPr>
        <w:rFonts w:hint="default" w:ascii="Arial" w:hAnsi="Arial"/>
      </w:rPr>
    </w:lvl>
    <w:lvl w:ilvl="4" w:tplc="352E7408" w:tentative="1">
      <w:start w:val="1"/>
      <w:numFmt w:val="bullet"/>
      <w:lvlText w:val="-"/>
      <w:lvlJc w:val="left"/>
      <w:pPr>
        <w:tabs>
          <w:tab w:val="num" w:pos="3600"/>
        </w:tabs>
        <w:ind w:left="3600" w:hanging="360"/>
      </w:pPr>
      <w:rPr>
        <w:rFonts w:hint="default" w:ascii="Arial" w:hAnsi="Arial"/>
      </w:rPr>
    </w:lvl>
    <w:lvl w:ilvl="5" w:tplc="E766DCC2" w:tentative="1">
      <w:start w:val="1"/>
      <w:numFmt w:val="bullet"/>
      <w:lvlText w:val="-"/>
      <w:lvlJc w:val="left"/>
      <w:pPr>
        <w:tabs>
          <w:tab w:val="num" w:pos="4320"/>
        </w:tabs>
        <w:ind w:left="4320" w:hanging="360"/>
      </w:pPr>
      <w:rPr>
        <w:rFonts w:hint="default" w:ascii="Arial" w:hAnsi="Arial"/>
      </w:rPr>
    </w:lvl>
    <w:lvl w:ilvl="6" w:tplc="9F8400E6" w:tentative="1">
      <w:start w:val="1"/>
      <w:numFmt w:val="bullet"/>
      <w:lvlText w:val="-"/>
      <w:lvlJc w:val="left"/>
      <w:pPr>
        <w:tabs>
          <w:tab w:val="num" w:pos="5040"/>
        </w:tabs>
        <w:ind w:left="5040" w:hanging="360"/>
      </w:pPr>
      <w:rPr>
        <w:rFonts w:hint="default" w:ascii="Arial" w:hAnsi="Arial"/>
      </w:rPr>
    </w:lvl>
    <w:lvl w:ilvl="7" w:tplc="D43EDDB0" w:tentative="1">
      <w:start w:val="1"/>
      <w:numFmt w:val="bullet"/>
      <w:lvlText w:val="-"/>
      <w:lvlJc w:val="left"/>
      <w:pPr>
        <w:tabs>
          <w:tab w:val="num" w:pos="5760"/>
        </w:tabs>
        <w:ind w:left="5760" w:hanging="360"/>
      </w:pPr>
      <w:rPr>
        <w:rFonts w:hint="default" w:ascii="Arial" w:hAnsi="Arial"/>
      </w:rPr>
    </w:lvl>
    <w:lvl w:ilvl="8" w:tplc="689E08CC" w:tentative="1">
      <w:start w:val="1"/>
      <w:numFmt w:val="bullet"/>
      <w:lvlText w:val="-"/>
      <w:lvlJc w:val="left"/>
      <w:pPr>
        <w:tabs>
          <w:tab w:val="num" w:pos="6480"/>
        </w:tabs>
        <w:ind w:left="6480" w:hanging="360"/>
      </w:pPr>
      <w:rPr>
        <w:rFonts w:hint="default" w:ascii="Arial" w:hAnsi="Arial"/>
      </w:rPr>
    </w:lvl>
  </w:abstractNum>
  <w:abstractNum w:abstractNumId="5" w15:restartNumberingAfterBreak="0">
    <w:nsid w:val="07F629B0"/>
    <w:multiLevelType w:val="hybridMultilevel"/>
    <w:tmpl w:val="195C6806"/>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B0C0BAB"/>
    <w:multiLevelType w:val="hybridMultilevel"/>
    <w:tmpl w:val="C80CE8B6"/>
    <w:lvl w:ilvl="0" w:tplc="42B2FC5E">
      <w:start w:val="1"/>
      <w:numFmt w:val="bullet"/>
      <w:lvlText w:val="-"/>
      <w:lvlJc w:val="left"/>
      <w:pPr>
        <w:tabs>
          <w:tab w:val="num" w:pos="634"/>
        </w:tabs>
        <w:ind w:left="634" w:hanging="360"/>
      </w:pPr>
      <w:rPr>
        <w:rFonts w:hint="default" w:ascii="Arial" w:hAnsi="Arial"/>
      </w:rPr>
    </w:lvl>
    <w:lvl w:ilvl="1" w:tplc="39388B50" w:tentative="1">
      <w:start w:val="1"/>
      <w:numFmt w:val="bullet"/>
      <w:lvlText w:val="-"/>
      <w:lvlJc w:val="left"/>
      <w:pPr>
        <w:tabs>
          <w:tab w:val="num" w:pos="1354"/>
        </w:tabs>
        <w:ind w:left="1354" w:hanging="360"/>
      </w:pPr>
      <w:rPr>
        <w:rFonts w:hint="default" w:ascii="Arial" w:hAnsi="Arial"/>
      </w:rPr>
    </w:lvl>
    <w:lvl w:ilvl="2" w:tplc="F26E04C8" w:tentative="1">
      <w:start w:val="1"/>
      <w:numFmt w:val="bullet"/>
      <w:lvlText w:val="-"/>
      <w:lvlJc w:val="left"/>
      <w:pPr>
        <w:tabs>
          <w:tab w:val="num" w:pos="2074"/>
        </w:tabs>
        <w:ind w:left="2074" w:hanging="360"/>
      </w:pPr>
      <w:rPr>
        <w:rFonts w:hint="default" w:ascii="Arial" w:hAnsi="Arial"/>
      </w:rPr>
    </w:lvl>
    <w:lvl w:ilvl="3" w:tplc="BD32AC10" w:tentative="1">
      <w:start w:val="1"/>
      <w:numFmt w:val="bullet"/>
      <w:lvlText w:val="-"/>
      <w:lvlJc w:val="left"/>
      <w:pPr>
        <w:tabs>
          <w:tab w:val="num" w:pos="2794"/>
        </w:tabs>
        <w:ind w:left="2794" w:hanging="360"/>
      </w:pPr>
      <w:rPr>
        <w:rFonts w:hint="default" w:ascii="Arial" w:hAnsi="Arial"/>
      </w:rPr>
    </w:lvl>
    <w:lvl w:ilvl="4" w:tplc="56FA4C60" w:tentative="1">
      <w:start w:val="1"/>
      <w:numFmt w:val="bullet"/>
      <w:lvlText w:val="-"/>
      <w:lvlJc w:val="left"/>
      <w:pPr>
        <w:tabs>
          <w:tab w:val="num" w:pos="3514"/>
        </w:tabs>
        <w:ind w:left="3514" w:hanging="360"/>
      </w:pPr>
      <w:rPr>
        <w:rFonts w:hint="default" w:ascii="Arial" w:hAnsi="Arial"/>
      </w:rPr>
    </w:lvl>
    <w:lvl w:ilvl="5" w:tplc="4CDC2AAE" w:tentative="1">
      <w:start w:val="1"/>
      <w:numFmt w:val="bullet"/>
      <w:lvlText w:val="-"/>
      <w:lvlJc w:val="left"/>
      <w:pPr>
        <w:tabs>
          <w:tab w:val="num" w:pos="4234"/>
        </w:tabs>
        <w:ind w:left="4234" w:hanging="360"/>
      </w:pPr>
      <w:rPr>
        <w:rFonts w:hint="default" w:ascii="Arial" w:hAnsi="Arial"/>
      </w:rPr>
    </w:lvl>
    <w:lvl w:ilvl="6" w:tplc="D3DE6BE6" w:tentative="1">
      <w:start w:val="1"/>
      <w:numFmt w:val="bullet"/>
      <w:lvlText w:val="-"/>
      <w:lvlJc w:val="left"/>
      <w:pPr>
        <w:tabs>
          <w:tab w:val="num" w:pos="4954"/>
        </w:tabs>
        <w:ind w:left="4954" w:hanging="360"/>
      </w:pPr>
      <w:rPr>
        <w:rFonts w:hint="default" w:ascii="Arial" w:hAnsi="Arial"/>
      </w:rPr>
    </w:lvl>
    <w:lvl w:ilvl="7" w:tplc="ECA40E64" w:tentative="1">
      <w:start w:val="1"/>
      <w:numFmt w:val="bullet"/>
      <w:lvlText w:val="-"/>
      <w:lvlJc w:val="left"/>
      <w:pPr>
        <w:tabs>
          <w:tab w:val="num" w:pos="5674"/>
        </w:tabs>
        <w:ind w:left="5674" w:hanging="360"/>
      </w:pPr>
      <w:rPr>
        <w:rFonts w:hint="default" w:ascii="Arial" w:hAnsi="Arial"/>
      </w:rPr>
    </w:lvl>
    <w:lvl w:ilvl="8" w:tplc="620C03A0" w:tentative="1">
      <w:start w:val="1"/>
      <w:numFmt w:val="bullet"/>
      <w:lvlText w:val="-"/>
      <w:lvlJc w:val="left"/>
      <w:pPr>
        <w:tabs>
          <w:tab w:val="num" w:pos="6394"/>
        </w:tabs>
        <w:ind w:left="6394" w:hanging="360"/>
      </w:pPr>
      <w:rPr>
        <w:rFonts w:hint="default" w:ascii="Arial" w:hAnsi="Arial"/>
      </w:rPr>
    </w:lvl>
  </w:abstractNum>
  <w:abstractNum w:abstractNumId="7" w15:restartNumberingAfterBreak="0">
    <w:nsid w:val="0EE04806"/>
    <w:multiLevelType w:val="hybridMultilevel"/>
    <w:tmpl w:val="887ED01E"/>
    <w:lvl w:ilvl="0" w:tplc="B42A3EAC">
      <w:start w:val="1"/>
      <w:numFmt w:val="bullet"/>
      <w:lvlText w:val="-"/>
      <w:lvlJc w:val="left"/>
      <w:pPr>
        <w:tabs>
          <w:tab w:val="num" w:pos="720"/>
        </w:tabs>
        <w:ind w:left="720" w:hanging="360"/>
      </w:pPr>
      <w:rPr>
        <w:rFonts w:hint="default" w:ascii="Arial" w:hAnsi="Arial"/>
      </w:rPr>
    </w:lvl>
    <w:lvl w:ilvl="1" w:tplc="BF4A09A6" w:tentative="1">
      <w:start w:val="1"/>
      <w:numFmt w:val="bullet"/>
      <w:lvlText w:val="-"/>
      <w:lvlJc w:val="left"/>
      <w:pPr>
        <w:tabs>
          <w:tab w:val="num" w:pos="1440"/>
        </w:tabs>
        <w:ind w:left="1440" w:hanging="360"/>
      </w:pPr>
      <w:rPr>
        <w:rFonts w:hint="default" w:ascii="Arial" w:hAnsi="Arial"/>
      </w:rPr>
    </w:lvl>
    <w:lvl w:ilvl="2" w:tplc="93F494BA" w:tentative="1">
      <w:start w:val="1"/>
      <w:numFmt w:val="bullet"/>
      <w:lvlText w:val="-"/>
      <w:lvlJc w:val="left"/>
      <w:pPr>
        <w:tabs>
          <w:tab w:val="num" w:pos="2160"/>
        </w:tabs>
        <w:ind w:left="2160" w:hanging="360"/>
      </w:pPr>
      <w:rPr>
        <w:rFonts w:hint="default" w:ascii="Arial" w:hAnsi="Arial"/>
      </w:rPr>
    </w:lvl>
    <w:lvl w:ilvl="3" w:tplc="46605B26" w:tentative="1">
      <w:start w:val="1"/>
      <w:numFmt w:val="bullet"/>
      <w:lvlText w:val="-"/>
      <w:lvlJc w:val="left"/>
      <w:pPr>
        <w:tabs>
          <w:tab w:val="num" w:pos="2880"/>
        </w:tabs>
        <w:ind w:left="2880" w:hanging="360"/>
      </w:pPr>
      <w:rPr>
        <w:rFonts w:hint="default" w:ascii="Arial" w:hAnsi="Arial"/>
      </w:rPr>
    </w:lvl>
    <w:lvl w:ilvl="4" w:tplc="37C4DF56" w:tentative="1">
      <w:start w:val="1"/>
      <w:numFmt w:val="bullet"/>
      <w:lvlText w:val="-"/>
      <w:lvlJc w:val="left"/>
      <w:pPr>
        <w:tabs>
          <w:tab w:val="num" w:pos="3600"/>
        </w:tabs>
        <w:ind w:left="3600" w:hanging="360"/>
      </w:pPr>
      <w:rPr>
        <w:rFonts w:hint="default" w:ascii="Arial" w:hAnsi="Arial"/>
      </w:rPr>
    </w:lvl>
    <w:lvl w:ilvl="5" w:tplc="68D08790" w:tentative="1">
      <w:start w:val="1"/>
      <w:numFmt w:val="bullet"/>
      <w:lvlText w:val="-"/>
      <w:lvlJc w:val="left"/>
      <w:pPr>
        <w:tabs>
          <w:tab w:val="num" w:pos="4320"/>
        </w:tabs>
        <w:ind w:left="4320" w:hanging="360"/>
      </w:pPr>
      <w:rPr>
        <w:rFonts w:hint="default" w:ascii="Arial" w:hAnsi="Arial"/>
      </w:rPr>
    </w:lvl>
    <w:lvl w:ilvl="6" w:tplc="02364A42" w:tentative="1">
      <w:start w:val="1"/>
      <w:numFmt w:val="bullet"/>
      <w:lvlText w:val="-"/>
      <w:lvlJc w:val="left"/>
      <w:pPr>
        <w:tabs>
          <w:tab w:val="num" w:pos="5040"/>
        </w:tabs>
        <w:ind w:left="5040" w:hanging="360"/>
      </w:pPr>
      <w:rPr>
        <w:rFonts w:hint="default" w:ascii="Arial" w:hAnsi="Arial"/>
      </w:rPr>
    </w:lvl>
    <w:lvl w:ilvl="7" w:tplc="3FE22048" w:tentative="1">
      <w:start w:val="1"/>
      <w:numFmt w:val="bullet"/>
      <w:lvlText w:val="-"/>
      <w:lvlJc w:val="left"/>
      <w:pPr>
        <w:tabs>
          <w:tab w:val="num" w:pos="5760"/>
        </w:tabs>
        <w:ind w:left="5760" w:hanging="360"/>
      </w:pPr>
      <w:rPr>
        <w:rFonts w:hint="default" w:ascii="Arial" w:hAnsi="Arial"/>
      </w:rPr>
    </w:lvl>
    <w:lvl w:ilvl="8" w:tplc="AF3E515E" w:tentative="1">
      <w:start w:val="1"/>
      <w:numFmt w:val="bullet"/>
      <w:lvlText w:val="-"/>
      <w:lvlJc w:val="left"/>
      <w:pPr>
        <w:tabs>
          <w:tab w:val="num" w:pos="6480"/>
        </w:tabs>
        <w:ind w:left="6480" w:hanging="360"/>
      </w:pPr>
      <w:rPr>
        <w:rFonts w:hint="default" w:ascii="Arial" w:hAnsi="Arial"/>
      </w:rPr>
    </w:lvl>
  </w:abstractNum>
  <w:abstractNum w:abstractNumId="8" w15:restartNumberingAfterBreak="0">
    <w:nsid w:val="10507868"/>
    <w:multiLevelType w:val="hybridMultilevel"/>
    <w:tmpl w:val="2496F8DA"/>
    <w:lvl w:ilvl="0" w:tplc="6BFACD28">
      <w:start w:val="1"/>
      <w:numFmt w:val="bullet"/>
      <w:lvlText w:val="-"/>
      <w:lvlJc w:val="left"/>
      <w:pPr>
        <w:tabs>
          <w:tab w:val="num" w:pos="720"/>
        </w:tabs>
        <w:ind w:left="720" w:hanging="360"/>
      </w:pPr>
      <w:rPr>
        <w:rFonts w:hint="default" w:ascii="Arial" w:hAnsi="Arial"/>
      </w:rPr>
    </w:lvl>
    <w:lvl w:ilvl="1" w:tplc="F1921906" w:tentative="1">
      <w:start w:val="1"/>
      <w:numFmt w:val="bullet"/>
      <w:lvlText w:val="-"/>
      <w:lvlJc w:val="left"/>
      <w:pPr>
        <w:tabs>
          <w:tab w:val="num" w:pos="1440"/>
        </w:tabs>
        <w:ind w:left="1440" w:hanging="360"/>
      </w:pPr>
      <w:rPr>
        <w:rFonts w:hint="default" w:ascii="Arial" w:hAnsi="Arial"/>
      </w:rPr>
    </w:lvl>
    <w:lvl w:ilvl="2" w:tplc="72BC07D6" w:tentative="1">
      <w:start w:val="1"/>
      <w:numFmt w:val="bullet"/>
      <w:lvlText w:val="-"/>
      <w:lvlJc w:val="left"/>
      <w:pPr>
        <w:tabs>
          <w:tab w:val="num" w:pos="2160"/>
        </w:tabs>
        <w:ind w:left="2160" w:hanging="360"/>
      </w:pPr>
      <w:rPr>
        <w:rFonts w:hint="default" w:ascii="Arial" w:hAnsi="Arial"/>
      </w:rPr>
    </w:lvl>
    <w:lvl w:ilvl="3" w:tplc="03B6BAD0" w:tentative="1">
      <w:start w:val="1"/>
      <w:numFmt w:val="bullet"/>
      <w:lvlText w:val="-"/>
      <w:lvlJc w:val="left"/>
      <w:pPr>
        <w:tabs>
          <w:tab w:val="num" w:pos="2880"/>
        </w:tabs>
        <w:ind w:left="2880" w:hanging="360"/>
      </w:pPr>
      <w:rPr>
        <w:rFonts w:hint="default" w:ascii="Arial" w:hAnsi="Arial"/>
      </w:rPr>
    </w:lvl>
    <w:lvl w:ilvl="4" w:tplc="49B28AEA" w:tentative="1">
      <w:start w:val="1"/>
      <w:numFmt w:val="bullet"/>
      <w:lvlText w:val="-"/>
      <w:lvlJc w:val="left"/>
      <w:pPr>
        <w:tabs>
          <w:tab w:val="num" w:pos="3600"/>
        </w:tabs>
        <w:ind w:left="3600" w:hanging="360"/>
      </w:pPr>
      <w:rPr>
        <w:rFonts w:hint="default" w:ascii="Arial" w:hAnsi="Arial"/>
      </w:rPr>
    </w:lvl>
    <w:lvl w:ilvl="5" w:tplc="DC4CE708" w:tentative="1">
      <w:start w:val="1"/>
      <w:numFmt w:val="bullet"/>
      <w:lvlText w:val="-"/>
      <w:lvlJc w:val="left"/>
      <w:pPr>
        <w:tabs>
          <w:tab w:val="num" w:pos="4320"/>
        </w:tabs>
        <w:ind w:left="4320" w:hanging="360"/>
      </w:pPr>
      <w:rPr>
        <w:rFonts w:hint="default" w:ascii="Arial" w:hAnsi="Arial"/>
      </w:rPr>
    </w:lvl>
    <w:lvl w:ilvl="6" w:tplc="C50C0DF2" w:tentative="1">
      <w:start w:val="1"/>
      <w:numFmt w:val="bullet"/>
      <w:lvlText w:val="-"/>
      <w:lvlJc w:val="left"/>
      <w:pPr>
        <w:tabs>
          <w:tab w:val="num" w:pos="5040"/>
        </w:tabs>
        <w:ind w:left="5040" w:hanging="360"/>
      </w:pPr>
      <w:rPr>
        <w:rFonts w:hint="default" w:ascii="Arial" w:hAnsi="Arial"/>
      </w:rPr>
    </w:lvl>
    <w:lvl w:ilvl="7" w:tplc="40F2D84E" w:tentative="1">
      <w:start w:val="1"/>
      <w:numFmt w:val="bullet"/>
      <w:lvlText w:val="-"/>
      <w:lvlJc w:val="left"/>
      <w:pPr>
        <w:tabs>
          <w:tab w:val="num" w:pos="5760"/>
        </w:tabs>
        <w:ind w:left="5760" w:hanging="360"/>
      </w:pPr>
      <w:rPr>
        <w:rFonts w:hint="default" w:ascii="Arial" w:hAnsi="Arial"/>
      </w:rPr>
    </w:lvl>
    <w:lvl w:ilvl="8" w:tplc="C68465DA"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147A51AD"/>
    <w:multiLevelType w:val="hybridMultilevel"/>
    <w:tmpl w:val="3F202142"/>
    <w:lvl w:ilvl="0" w:tplc="4B44E356">
      <w:start w:val="1"/>
      <w:numFmt w:val="bullet"/>
      <w:lvlText w:val="-"/>
      <w:lvlJc w:val="left"/>
      <w:pPr>
        <w:tabs>
          <w:tab w:val="num" w:pos="720"/>
        </w:tabs>
        <w:ind w:left="720" w:hanging="360"/>
      </w:pPr>
      <w:rPr>
        <w:rFonts w:hint="default" w:ascii="Arial" w:hAnsi="Arial"/>
      </w:rPr>
    </w:lvl>
    <w:lvl w:ilvl="1" w:tplc="E3302646" w:tentative="1">
      <w:start w:val="1"/>
      <w:numFmt w:val="bullet"/>
      <w:lvlText w:val="-"/>
      <w:lvlJc w:val="left"/>
      <w:pPr>
        <w:tabs>
          <w:tab w:val="num" w:pos="1440"/>
        </w:tabs>
        <w:ind w:left="1440" w:hanging="360"/>
      </w:pPr>
      <w:rPr>
        <w:rFonts w:hint="default" w:ascii="Arial" w:hAnsi="Arial"/>
      </w:rPr>
    </w:lvl>
    <w:lvl w:ilvl="2" w:tplc="BE8695FA" w:tentative="1">
      <w:start w:val="1"/>
      <w:numFmt w:val="bullet"/>
      <w:lvlText w:val="-"/>
      <w:lvlJc w:val="left"/>
      <w:pPr>
        <w:tabs>
          <w:tab w:val="num" w:pos="2160"/>
        </w:tabs>
        <w:ind w:left="2160" w:hanging="360"/>
      </w:pPr>
      <w:rPr>
        <w:rFonts w:hint="default" w:ascii="Arial" w:hAnsi="Arial"/>
      </w:rPr>
    </w:lvl>
    <w:lvl w:ilvl="3" w:tplc="3DFC620C" w:tentative="1">
      <w:start w:val="1"/>
      <w:numFmt w:val="bullet"/>
      <w:lvlText w:val="-"/>
      <w:lvlJc w:val="left"/>
      <w:pPr>
        <w:tabs>
          <w:tab w:val="num" w:pos="2880"/>
        </w:tabs>
        <w:ind w:left="2880" w:hanging="360"/>
      </w:pPr>
      <w:rPr>
        <w:rFonts w:hint="default" w:ascii="Arial" w:hAnsi="Arial"/>
      </w:rPr>
    </w:lvl>
    <w:lvl w:ilvl="4" w:tplc="C39233A6" w:tentative="1">
      <w:start w:val="1"/>
      <w:numFmt w:val="bullet"/>
      <w:lvlText w:val="-"/>
      <w:lvlJc w:val="left"/>
      <w:pPr>
        <w:tabs>
          <w:tab w:val="num" w:pos="3600"/>
        </w:tabs>
        <w:ind w:left="3600" w:hanging="360"/>
      </w:pPr>
      <w:rPr>
        <w:rFonts w:hint="default" w:ascii="Arial" w:hAnsi="Arial"/>
      </w:rPr>
    </w:lvl>
    <w:lvl w:ilvl="5" w:tplc="C1346AE0" w:tentative="1">
      <w:start w:val="1"/>
      <w:numFmt w:val="bullet"/>
      <w:lvlText w:val="-"/>
      <w:lvlJc w:val="left"/>
      <w:pPr>
        <w:tabs>
          <w:tab w:val="num" w:pos="4320"/>
        </w:tabs>
        <w:ind w:left="4320" w:hanging="360"/>
      </w:pPr>
      <w:rPr>
        <w:rFonts w:hint="default" w:ascii="Arial" w:hAnsi="Arial"/>
      </w:rPr>
    </w:lvl>
    <w:lvl w:ilvl="6" w:tplc="8C6EC4AA" w:tentative="1">
      <w:start w:val="1"/>
      <w:numFmt w:val="bullet"/>
      <w:lvlText w:val="-"/>
      <w:lvlJc w:val="left"/>
      <w:pPr>
        <w:tabs>
          <w:tab w:val="num" w:pos="5040"/>
        </w:tabs>
        <w:ind w:left="5040" w:hanging="360"/>
      </w:pPr>
      <w:rPr>
        <w:rFonts w:hint="default" w:ascii="Arial" w:hAnsi="Arial"/>
      </w:rPr>
    </w:lvl>
    <w:lvl w:ilvl="7" w:tplc="256C257C" w:tentative="1">
      <w:start w:val="1"/>
      <w:numFmt w:val="bullet"/>
      <w:lvlText w:val="-"/>
      <w:lvlJc w:val="left"/>
      <w:pPr>
        <w:tabs>
          <w:tab w:val="num" w:pos="5760"/>
        </w:tabs>
        <w:ind w:left="5760" w:hanging="360"/>
      </w:pPr>
      <w:rPr>
        <w:rFonts w:hint="default" w:ascii="Arial" w:hAnsi="Arial"/>
      </w:rPr>
    </w:lvl>
    <w:lvl w:ilvl="8" w:tplc="519AEC7C"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17A725E9"/>
    <w:multiLevelType w:val="hybridMultilevel"/>
    <w:tmpl w:val="BDD8B256"/>
    <w:lvl w:ilvl="0" w:tplc="74F423D6">
      <w:start w:val="1"/>
      <w:numFmt w:val="lowerLetter"/>
      <w:pStyle w:val="ProposedAction"/>
      <w:lvlText w:val="%1)"/>
      <w:lvlJc w:val="left"/>
      <w:pPr>
        <w:ind w:left="1400" w:hanging="360"/>
      </w:pPr>
    </w:lvl>
    <w:lvl w:ilvl="1" w:tplc="D7206700">
      <w:start w:val="1"/>
      <w:numFmt w:val="lowerRoman"/>
      <w:lvlText w:val="%2)"/>
      <w:lvlJc w:val="left"/>
      <w:pPr>
        <w:tabs>
          <w:tab w:val="num" w:pos="567"/>
        </w:tabs>
        <w:ind w:left="2835" w:hanging="567"/>
      </w:pPr>
      <w:rPr>
        <w:rFonts w:hint="default"/>
      </w:rPr>
    </w:lvl>
    <w:lvl w:ilvl="2" w:tplc="F77E56A6">
      <w:start w:val="1"/>
      <w:numFmt w:val="lowerRoman"/>
      <w:lvlText w:val="%3."/>
      <w:lvlJc w:val="right"/>
      <w:pPr>
        <w:ind w:left="4309" w:hanging="487"/>
      </w:pPr>
      <w:rPr>
        <w:rFonts w:hint="default"/>
      </w:rPr>
    </w:lvl>
    <w:lvl w:ilvl="3" w:tplc="6D8AD84E">
      <w:start w:val="1"/>
      <w:numFmt w:val="decimal"/>
      <w:lvlText w:val="%4."/>
      <w:lvlJc w:val="left"/>
      <w:pPr>
        <w:ind w:left="4723" w:hanging="363"/>
      </w:pPr>
      <w:rPr>
        <w:rFonts w:hint="default"/>
      </w:rPr>
    </w:lvl>
    <w:lvl w:ilvl="4" w:tplc="6F2EB210">
      <w:start w:val="1"/>
      <w:numFmt w:val="lowerLetter"/>
      <w:lvlText w:val="%5."/>
      <w:lvlJc w:val="left"/>
      <w:pPr>
        <w:ind w:left="5443" w:hanging="363"/>
      </w:pPr>
      <w:rPr>
        <w:rFonts w:hint="default"/>
      </w:rPr>
    </w:lvl>
    <w:lvl w:ilvl="5" w:tplc="054A5176">
      <w:start w:val="1"/>
      <w:numFmt w:val="lowerRoman"/>
      <w:lvlText w:val="%6."/>
      <w:lvlJc w:val="right"/>
      <w:pPr>
        <w:ind w:left="6163" w:hanging="181"/>
      </w:pPr>
      <w:rPr>
        <w:rFonts w:hint="default"/>
      </w:rPr>
    </w:lvl>
    <w:lvl w:ilvl="6" w:tplc="20105C9A">
      <w:start w:val="1"/>
      <w:numFmt w:val="decimal"/>
      <w:lvlText w:val="%7."/>
      <w:lvlJc w:val="left"/>
      <w:pPr>
        <w:ind w:left="6883" w:hanging="362"/>
      </w:pPr>
      <w:rPr>
        <w:rFonts w:hint="default"/>
      </w:r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1" w15:restartNumberingAfterBreak="0">
    <w:nsid w:val="185E0111"/>
    <w:multiLevelType w:val="hybridMultilevel"/>
    <w:tmpl w:val="45A2C036"/>
    <w:lvl w:ilvl="0" w:tplc="A818341A">
      <w:start w:val="1"/>
      <w:numFmt w:val="bullet"/>
      <w:pStyle w:val="Annotation"/>
      <w:lvlText w:val="˗"/>
      <w:lvlJc w:val="left"/>
      <w:pPr>
        <w:ind w:left="720" w:hanging="360"/>
      </w:pPr>
      <w:rPr>
        <w:rFonts w:hint="default" w:ascii="Times New Roman" w:hAnsi="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99C2EC8"/>
    <w:multiLevelType w:val="multilevel"/>
    <w:tmpl w:val="BE8C78D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D144BC2"/>
    <w:multiLevelType w:val="hybridMultilevel"/>
    <w:tmpl w:val="3BEEA87A"/>
    <w:lvl w:ilvl="0" w:tplc="D646BF4E">
      <w:start w:val="1"/>
      <w:numFmt w:val="bullet"/>
      <w:lvlText w:val="-"/>
      <w:lvlJc w:val="left"/>
      <w:pPr>
        <w:tabs>
          <w:tab w:val="num" w:pos="720"/>
        </w:tabs>
        <w:ind w:left="720" w:hanging="360"/>
      </w:pPr>
      <w:rPr>
        <w:rFonts w:hint="default" w:ascii="Arial" w:hAnsi="Arial"/>
      </w:rPr>
    </w:lvl>
    <w:lvl w:ilvl="1" w:tplc="89E24312" w:tentative="1">
      <w:start w:val="1"/>
      <w:numFmt w:val="bullet"/>
      <w:lvlText w:val="-"/>
      <w:lvlJc w:val="left"/>
      <w:pPr>
        <w:tabs>
          <w:tab w:val="num" w:pos="1440"/>
        </w:tabs>
        <w:ind w:left="1440" w:hanging="360"/>
      </w:pPr>
      <w:rPr>
        <w:rFonts w:hint="default" w:ascii="Arial" w:hAnsi="Arial"/>
      </w:rPr>
    </w:lvl>
    <w:lvl w:ilvl="2" w:tplc="65B06736" w:tentative="1">
      <w:start w:val="1"/>
      <w:numFmt w:val="bullet"/>
      <w:lvlText w:val="-"/>
      <w:lvlJc w:val="left"/>
      <w:pPr>
        <w:tabs>
          <w:tab w:val="num" w:pos="2160"/>
        </w:tabs>
        <w:ind w:left="2160" w:hanging="360"/>
      </w:pPr>
      <w:rPr>
        <w:rFonts w:hint="default" w:ascii="Arial" w:hAnsi="Arial"/>
      </w:rPr>
    </w:lvl>
    <w:lvl w:ilvl="3" w:tplc="08A627EA" w:tentative="1">
      <w:start w:val="1"/>
      <w:numFmt w:val="bullet"/>
      <w:lvlText w:val="-"/>
      <w:lvlJc w:val="left"/>
      <w:pPr>
        <w:tabs>
          <w:tab w:val="num" w:pos="2880"/>
        </w:tabs>
        <w:ind w:left="2880" w:hanging="360"/>
      </w:pPr>
      <w:rPr>
        <w:rFonts w:hint="default" w:ascii="Arial" w:hAnsi="Arial"/>
      </w:rPr>
    </w:lvl>
    <w:lvl w:ilvl="4" w:tplc="9A14575C" w:tentative="1">
      <w:start w:val="1"/>
      <w:numFmt w:val="bullet"/>
      <w:lvlText w:val="-"/>
      <w:lvlJc w:val="left"/>
      <w:pPr>
        <w:tabs>
          <w:tab w:val="num" w:pos="3600"/>
        </w:tabs>
        <w:ind w:left="3600" w:hanging="360"/>
      </w:pPr>
      <w:rPr>
        <w:rFonts w:hint="default" w:ascii="Arial" w:hAnsi="Arial"/>
      </w:rPr>
    </w:lvl>
    <w:lvl w:ilvl="5" w:tplc="C7DE4684" w:tentative="1">
      <w:start w:val="1"/>
      <w:numFmt w:val="bullet"/>
      <w:lvlText w:val="-"/>
      <w:lvlJc w:val="left"/>
      <w:pPr>
        <w:tabs>
          <w:tab w:val="num" w:pos="4320"/>
        </w:tabs>
        <w:ind w:left="4320" w:hanging="360"/>
      </w:pPr>
      <w:rPr>
        <w:rFonts w:hint="default" w:ascii="Arial" w:hAnsi="Arial"/>
      </w:rPr>
    </w:lvl>
    <w:lvl w:ilvl="6" w:tplc="BBC897B2" w:tentative="1">
      <w:start w:val="1"/>
      <w:numFmt w:val="bullet"/>
      <w:lvlText w:val="-"/>
      <w:lvlJc w:val="left"/>
      <w:pPr>
        <w:tabs>
          <w:tab w:val="num" w:pos="5040"/>
        </w:tabs>
        <w:ind w:left="5040" w:hanging="360"/>
      </w:pPr>
      <w:rPr>
        <w:rFonts w:hint="default" w:ascii="Arial" w:hAnsi="Arial"/>
      </w:rPr>
    </w:lvl>
    <w:lvl w:ilvl="7" w:tplc="FE047230" w:tentative="1">
      <w:start w:val="1"/>
      <w:numFmt w:val="bullet"/>
      <w:lvlText w:val="-"/>
      <w:lvlJc w:val="left"/>
      <w:pPr>
        <w:tabs>
          <w:tab w:val="num" w:pos="5760"/>
        </w:tabs>
        <w:ind w:left="5760" w:hanging="360"/>
      </w:pPr>
      <w:rPr>
        <w:rFonts w:hint="default" w:ascii="Arial" w:hAnsi="Arial"/>
      </w:rPr>
    </w:lvl>
    <w:lvl w:ilvl="8" w:tplc="40464986"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1D55021F"/>
    <w:multiLevelType w:val="hybridMultilevel"/>
    <w:tmpl w:val="FFA645FE"/>
    <w:lvl w:ilvl="0" w:tplc="9FF02C7C">
      <w:start w:val="1"/>
      <w:numFmt w:val="bullet"/>
      <w:lvlText w:val="-"/>
      <w:lvlJc w:val="left"/>
      <w:pPr>
        <w:tabs>
          <w:tab w:val="num" w:pos="720"/>
        </w:tabs>
        <w:ind w:left="720" w:hanging="360"/>
      </w:pPr>
      <w:rPr>
        <w:rFonts w:hint="default" w:ascii="Arial" w:hAnsi="Arial"/>
      </w:rPr>
    </w:lvl>
    <w:lvl w:ilvl="1" w:tplc="EAC08F12" w:tentative="1">
      <w:start w:val="1"/>
      <w:numFmt w:val="bullet"/>
      <w:lvlText w:val="-"/>
      <w:lvlJc w:val="left"/>
      <w:pPr>
        <w:tabs>
          <w:tab w:val="num" w:pos="1440"/>
        </w:tabs>
        <w:ind w:left="1440" w:hanging="360"/>
      </w:pPr>
      <w:rPr>
        <w:rFonts w:hint="default" w:ascii="Arial" w:hAnsi="Arial"/>
      </w:rPr>
    </w:lvl>
    <w:lvl w:ilvl="2" w:tplc="273C976E" w:tentative="1">
      <w:start w:val="1"/>
      <w:numFmt w:val="bullet"/>
      <w:lvlText w:val="-"/>
      <w:lvlJc w:val="left"/>
      <w:pPr>
        <w:tabs>
          <w:tab w:val="num" w:pos="2160"/>
        </w:tabs>
        <w:ind w:left="2160" w:hanging="360"/>
      </w:pPr>
      <w:rPr>
        <w:rFonts w:hint="default" w:ascii="Arial" w:hAnsi="Arial"/>
      </w:rPr>
    </w:lvl>
    <w:lvl w:ilvl="3" w:tplc="E23E0F32" w:tentative="1">
      <w:start w:val="1"/>
      <w:numFmt w:val="bullet"/>
      <w:lvlText w:val="-"/>
      <w:lvlJc w:val="left"/>
      <w:pPr>
        <w:tabs>
          <w:tab w:val="num" w:pos="2880"/>
        </w:tabs>
        <w:ind w:left="2880" w:hanging="360"/>
      </w:pPr>
      <w:rPr>
        <w:rFonts w:hint="default" w:ascii="Arial" w:hAnsi="Arial"/>
      </w:rPr>
    </w:lvl>
    <w:lvl w:ilvl="4" w:tplc="5E02DD02" w:tentative="1">
      <w:start w:val="1"/>
      <w:numFmt w:val="bullet"/>
      <w:lvlText w:val="-"/>
      <w:lvlJc w:val="left"/>
      <w:pPr>
        <w:tabs>
          <w:tab w:val="num" w:pos="3600"/>
        </w:tabs>
        <w:ind w:left="3600" w:hanging="360"/>
      </w:pPr>
      <w:rPr>
        <w:rFonts w:hint="default" w:ascii="Arial" w:hAnsi="Arial"/>
      </w:rPr>
    </w:lvl>
    <w:lvl w:ilvl="5" w:tplc="36722FD6" w:tentative="1">
      <w:start w:val="1"/>
      <w:numFmt w:val="bullet"/>
      <w:lvlText w:val="-"/>
      <w:lvlJc w:val="left"/>
      <w:pPr>
        <w:tabs>
          <w:tab w:val="num" w:pos="4320"/>
        </w:tabs>
        <w:ind w:left="4320" w:hanging="360"/>
      </w:pPr>
      <w:rPr>
        <w:rFonts w:hint="default" w:ascii="Arial" w:hAnsi="Arial"/>
      </w:rPr>
    </w:lvl>
    <w:lvl w:ilvl="6" w:tplc="B100E24A" w:tentative="1">
      <w:start w:val="1"/>
      <w:numFmt w:val="bullet"/>
      <w:lvlText w:val="-"/>
      <w:lvlJc w:val="left"/>
      <w:pPr>
        <w:tabs>
          <w:tab w:val="num" w:pos="5040"/>
        </w:tabs>
        <w:ind w:left="5040" w:hanging="360"/>
      </w:pPr>
      <w:rPr>
        <w:rFonts w:hint="default" w:ascii="Arial" w:hAnsi="Arial"/>
      </w:rPr>
    </w:lvl>
    <w:lvl w:ilvl="7" w:tplc="B914C96C" w:tentative="1">
      <w:start w:val="1"/>
      <w:numFmt w:val="bullet"/>
      <w:lvlText w:val="-"/>
      <w:lvlJc w:val="left"/>
      <w:pPr>
        <w:tabs>
          <w:tab w:val="num" w:pos="5760"/>
        </w:tabs>
        <w:ind w:left="5760" w:hanging="360"/>
      </w:pPr>
      <w:rPr>
        <w:rFonts w:hint="default" w:ascii="Arial" w:hAnsi="Arial"/>
      </w:rPr>
    </w:lvl>
    <w:lvl w:ilvl="8" w:tplc="D13A4FEE"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20D247A2"/>
    <w:multiLevelType w:val="hybridMultilevel"/>
    <w:tmpl w:val="AB046A78"/>
    <w:lvl w:ilvl="0" w:tplc="E206B776">
      <w:start w:val="1"/>
      <w:numFmt w:val="bullet"/>
      <w:lvlText w:val="-"/>
      <w:lvlJc w:val="left"/>
      <w:pPr>
        <w:tabs>
          <w:tab w:val="num" w:pos="720"/>
        </w:tabs>
        <w:ind w:left="720" w:hanging="360"/>
      </w:pPr>
      <w:rPr>
        <w:rFonts w:hint="default" w:ascii="Arial" w:hAnsi="Arial"/>
      </w:rPr>
    </w:lvl>
    <w:lvl w:ilvl="1" w:tplc="9DB22696" w:tentative="1">
      <w:start w:val="1"/>
      <w:numFmt w:val="bullet"/>
      <w:lvlText w:val="-"/>
      <w:lvlJc w:val="left"/>
      <w:pPr>
        <w:tabs>
          <w:tab w:val="num" w:pos="1440"/>
        </w:tabs>
        <w:ind w:left="1440" w:hanging="360"/>
      </w:pPr>
      <w:rPr>
        <w:rFonts w:hint="default" w:ascii="Arial" w:hAnsi="Arial"/>
      </w:rPr>
    </w:lvl>
    <w:lvl w:ilvl="2" w:tplc="8DFC759C" w:tentative="1">
      <w:start w:val="1"/>
      <w:numFmt w:val="bullet"/>
      <w:lvlText w:val="-"/>
      <w:lvlJc w:val="left"/>
      <w:pPr>
        <w:tabs>
          <w:tab w:val="num" w:pos="2160"/>
        </w:tabs>
        <w:ind w:left="2160" w:hanging="360"/>
      </w:pPr>
      <w:rPr>
        <w:rFonts w:hint="default" w:ascii="Arial" w:hAnsi="Arial"/>
      </w:rPr>
    </w:lvl>
    <w:lvl w:ilvl="3" w:tplc="4950D45C" w:tentative="1">
      <w:start w:val="1"/>
      <w:numFmt w:val="bullet"/>
      <w:lvlText w:val="-"/>
      <w:lvlJc w:val="left"/>
      <w:pPr>
        <w:tabs>
          <w:tab w:val="num" w:pos="2880"/>
        </w:tabs>
        <w:ind w:left="2880" w:hanging="360"/>
      </w:pPr>
      <w:rPr>
        <w:rFonts w:hint="default" w:ascii="Arial" w:hAnsi="Arial"/>
      </w:rPr>
    </w:lvl>
    <w:lvl w:ilvl="4" w:tplc="4BCEA03E" w:tentative="1">
      <w:start w:val="1"/>
      <w:numFmt w:val="bullet"/>
      <w:lvlText w:val="-"/>
      <w:lvlJc w:val="left"/>
      <w:pPr>
        <w:tabs>
          <w:tab w:val="num" w:pos="3600"/>
        </w:tabs>
        <w:ind w:left="3600" w:hanging="360"/>
      </w:pPr>
      <w:rPr>
        <w:rFonts w:hint="default" w:ascii="Arial" w:hAnsi="Arial"/>
      </w:rPr>
    </w:lvl>
    <w:lvl w:ilvl="5" w:tplc="FF90E4C4" w:tentative="1">
      <w:start w:val="1"/>
      <w:numFmt w:val="bullet"/>
      <w:lvlText w:val="-"/>
      <w:lvlJc w:val="left"/>
      <w:pPr>
        <w:tabs>
          <w:tab w:val="num" w:pos="4320"/>
        </w:tabs>
        <w:ind w:left="4320" w:hanging="360"/>
      </w:pPr>
      <w:rPr>
        <w:rFonts w:hint="default" w:ascii="Arial" w:hAnsi="Arial"/>
      </w:rPr>
    </w:lvl>
    <w:lvl w:ilvl="6" w:tplc="E690C310" w:tentative="1">
      <w:start w:val="1"/>
      <w:numFmt w:val="bullet"/>
      <w:lvlText w:val="-"/>
      <w:lvlJc w:val="left"/>
      <w:pPr>
        <w:tabs>
          <w:tab w:val="num" w:pos="5040"/>
        </w:tabs>
        <w:ind w:left="5040" w:hanging="360"/>
      </w:pPr>
      <w:rPr>
        <w:rFonts w:hint="default" w:ascii="Arial" w:hAnsi="Arial"/>
      </w:rPr>
    </w:lvl>
    <w:lvl w:ilvl="7" w:tplc="B2AAD5E6" w:tentative="1">
      <w:start w:val="1"/>
      <w:numFmt w:val="bullet"/>
      <w:lvlText w:val="-"/>
      <w:lvlJc w:val="left"/>
      <w:pPr>
        <w:tabs>
          <w:tab w:val="num" w:pos="5760"/>
        </w:tabs>
        <w:ind w:left="5760" w:hanging="360"/>
      </w:pPr>
      <w:rPr>
        <w:rFonts w:hint="default" w:ascii="Arial" w:hAnsi="Arial"/>
      </w:rPr>
    </w:lvl>
    <w:lvl w:ilvl="8" w:tplc="6AC466F2" w:tentative="1">
      <w:start w:val="1"/>
      <w:numFmt w:val="bullet"/>
      <w:lvlText w:val="-"/>
      <w:lvlJc w:val="left"/>
      <w:pPr>
        <w:tabs>
          <w:tab w:val="num" w:pos="6480"/>
        </w:tabs>
        <w:ind w:left="6480" w:hanging="360"/>
      </w:pPr>
      <w:rPr>
        <w:rFonts w:hint="default" w:ascii="Arial" w:hAnsi="Arial"/>
      </w:rPr>
    </w:lvl>
  </w:abstractNum>
  <w:abstractNum w:abstractNumId="16" w15:restartNumberingAfterBreak="0">
    <w:nsid w:val="24BD1C91"/>
    <w:multiLevelType w:val="hybridMultilevel"/>
    <w:tmpl w:val="1862DB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5A1521B"/>
    <w:multiLevelType w:val="hybridMultilevel"/>
    <w:tmpl w:val="5D3C5F00"/>
    <w:lvl w:ilvl="0" w:tplc="18EA0DCE">
      <w:start w:val="1"/>
      <w:numFmt w:val="decimal"/>
      <w:pStyle w:val="Para"/>
      <w:lvlText w:val="%1."/>
      <w:lvlJc w:val="left"/>
      <w:pPr>
        <w:tabs>
          <w:tab w:val="num" w:pos="720"/>
        </w:tabs>
        <w:ind w:left="0" w:firstLine="0"/>
      </w:pPr>
      <w:rPr>
        <w:rFonts w:hint="default"/>
      </w:rPr>
    </w:lvl>
    <w:lvl w:ilvl="1" w:tplc="08090019">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8" w15:restartNumberingAfterBreak="0">
    <w:nsid w:val="2E7E516C"/>
    <w:multiLevelType w:val="hybridMultilevel"/>
    <w:tmpl w:val="74D0EBBE"/>
    <w:lvl w:ilvl="0" w:tplc="6EF66F78">
      <w:start w:val="1"/>
      <w:numFmt w:val="decimal"/>
      <w:pStyle w:val="NumberedList"/>
      <w:lvlText w:val="%1."/>
      <w:lvlJc w:val="left"/>
      <w:pPr>
        <w:ind w:left="680" w:hanging="340"/>
      </w:pPr>
      <w:rPr>
        <w:rFonts w:hint="default"/>
      </w:rPr>
    </w:lvl>
    <w:lvl w:ilvl="1" w:tplc="0DA27B04">
      <w:start w:val="1"/>
      <w:numFmt w:val="lowerLetter"/>
      <w:lvlText w:val="%2."/>
      <w:lvlJc w:val="left"/>
      <w:pPr>
        <w:tabs>
          <w:tab w:val="num" w:pos="680"/>
        </w:tabs>
        <w:ind w:left="1021" w:hanging="341"/>
      </w:pPr>
      <w:rPr>
        <w:rFonts w:hint="default"/>
      </w:rPr>
    </w:lvl>
    <w:lvl w:ilvl="2" w:tplc="AF249572">
      <w:start w:val="1"/>
      <w:numFmt w:val="lowerRoman"/>
      <w:lvlText w:val="%3."/>
      <w:lvlJc w:val="right"/>
      <w:pPr>
        <w:ind w:left="1361" w:hanging="227"/>
      </w:pPr>
      <w:rPr>
        <w:rFonts w:hint="default"/>
      </w:rPr>
    </w:lvl>
    <w:lvl w:ilvl="3" w:tplc="6DA6E442">
      <w:start w:val="1"/>
      <w:numFmt w:val="lowerLetter"/>
      <w:lvlText w:val="%4)"/>
      <w:lvlJc w:val="left"/>
      <w:pPr>
        <w:tabs>
          <w:tab w:val="num" w:pos="1361"/>
        </w:tabs>
        <w:ind w:left="1701" w:hanging="340"/>
      </w:pPr>
      <w:rPr>
        <w:rFonts w:hint="default"/>
      </w:rPr>
    </w:lvl>
    <w:lvl w:ilvl="4" w:tplc="1BA86D40">
      <w:start w:val="1"/>
      <w:numFmt w:val="decimal"/>
      <w:lvlText w:val="%5)"/>
      <w:lvlJc w:val="left"/>
      <w:pPr>
        <w:tabs>
          <w:tab w:val="num" w:pos="1701"/>
        </w:tabs>
        <w:ind w:left="2041" w:hanging="340"/>
      </w:pPr>
      <w:rPr>
        <w:rFonts w:hint="default"/>
      </w:r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2FAB744C"/>
    <w:multiLevelType w:val="hybridMultilevel"/>
    <w:tmpl w:val="A746C3CA"/>
    <w:lvl w:ilvl="0" w:tplc="C9D810AA">
      <w:start w:val="1"/>
      <w:numFmt w:val="bullet"/>
      <w:lvlText w:val="-"/>
      <w:lvlJc w:val="left"/>
      <w:pPr>
        <w:tabs>
          <w:tab w:val="num" w:pos="720"/>
        </w:tabs>
        <w:ind w:left="720" w:hanging="360"/>
      </w:pPr>
      <w:rPr>
        <w:rFonts w:hint="default" w:ascii="Arial" w:hAnsi="Arial"/>
      </w:rPr>
    </w:lvl>
    <w:lvl w:ilvl="1" w:tplc="D0947826" w:tentative="1">
      <w:start w:val="1"/>
      <w:numFmt w:val="bullet"/>
      <w:lvlText w:val="-"/>
      <w:lvlJc w:val="left"/>
      <w:pPr>
        <w:tabs>
          <w:tab w:val="num" w:pos="1440"/>
        </w:tabs>
        <w:ind w:left="1440" w:hanging="360"/>
      </w:pPr>
      <w:rPr>
        <w:rFonts w:hint="default" w:ascii="Arial" w:hAnsi="Arial"/>
      </w:rPr>
    </w:lvl>
    <w:lvl w:ilvl="2" w:tplc="E1FAE4F6" w:tentative="1">
      <w:start w:val="1"/>
      <w:numFmt w:val="bullet"/>
      <w:lvlText w:val="-"/>
      <w:lvlJc w:val="left"/>
      <w:pPr>
        <w:tabs>
          <w:tab w:val="num" w:pos="2160"/>
        </w:tabs>
        <w:ind w:left="2160" w:hanging="360"/>
      </w:pPr>
      <w:rPr>
        <w:rFonts w:hint="default" w:ascii="Arial" w:hAnsi="Arial"/>
      </w:rPr>
    </w:lvl>
    <w:lvl w:ilvl="3" w:tplc="719C07EA" w:tentative="1">
      <w:start w:val="1"/>
      <w:numFmt w:val="bullet"/>
      <w:lvlText w:val="-"/>
      <w:lvlJc w:val="left"/>
      <w:pPr>
        <w:tabs>
          <w:tab w:val="num" w:pos="2880"/>
        </w:tabs>
        <w:ind w:left="2880" w:hanging="360"/>
      </w:pPr>
      <w:rPr>
        <w:rFonts w:hint="default" w:ascii="Arial" w:hAnsi="Arial"/>
      </w:rPr>
    </w:lvl>
    <w:lvl w:ilvl="4" w:tplc="E9FAD98A" w:tentative="1">
      <w:start w:val="1"/>
      <w:numFmt w:val="bullet"/>
      <w:lvlText w:val="-"/>
      <w:lvlJc w:val="left"/>
      <w:pPr>
        <w:tabs>
          <w:tab w:val="num" w:pos="3600"/>
        </w:tabs>
        <w:ind w:left="3600" w:hanging="360"/>
      </w:pPr>
      <w:rPr>
        <w:rFonts w:hint="default" w:ascii="Arial" w:hAnsi="Arial"/>
      </w:rPr>
    </w:lvl>
    <w:lvl w:ilvl="5" w:tplc="411EB22C" w:tentative="1">
      <w:start w:val="1"/>
      <w:numFmt w:val="bullet"/>
      <w:lvlText w:val="-"/>
      <w:lvlJc w:val="left"/>
      <w:pPr>
        <w:tabs>
          <w:tab w:val="num" w:pos="4320"/>
        </w:tabs>
        <w:ind w:left="4320" w:hanging="360"/>
      </w:pPr>
      <w:rPr>
        <w:rFonts w:hint="default" w:ascii="Arial" w:hAnsi="Arial"/>
      </w:rPr>
    </w:lvl>
    <w:lvl w:ilvl="6" w:tplc="C1F8D920" w:tentative="1">
      <w:start w:val="1"/>
      <w:numFmt w:val="bullet"/>
      <w:lvlText w:val="-"/>
      <w:lvlJc w:val="left"/>
      <w:pPr>
        <w:tabs>
          <w:tab w:val="num" w:pos="5040"/>
        </w:tabs>
        <w:ind w:left="5040" w:hanging="360"/>
      </w:pPr>
      <w:rPr>
        <w:rFonts w:hint="default" w:ascii="Arial" w:hAnsi="Arial"/>
      </w:rPr>
    </w:lvl>
    <w:lvl w:ilvl="7" w:tplc="57C4771E" w:tentative="1">
      <w:start w:val="1"/>
      <w:numFmt w:val="bullet"/>
      <w:lvlText w:val="-"/>
      <w:lvlJc w:val="left"/>
      <w:pPr>
        <w:tabs>
          <w:tab w:val="num" w:pos="5760"/>
        </w:tabs>
        <w:ind w:left="5760" w:hanging="360"/>
      </w:pPr>
      <w:rPr>
        <w:rFonts w:hint="default" w:ascii="Arial" w:hAnsi="Arial"/>
      </w:rPr>
    </w:lvl>
    <w:lvl w:ilvl="8" w:tplc="59EC4D38"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3131559F"/>
    <w:multiLevelType w:val="hybridMultilevel"/>
    <w:tmpl w:val="F88A83B0"/>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4DE54D9"/>
    <w:multiLevelType w:val="hybridMultilevel"/>
    <w:tmpl w:val="8970035A"/>
    <w:lvl w:ilvl="0" w:tplc="FBF0C89A">
      <w:start w:val="1"/>
      <w:numFmt w:val="bullet"/>
      <w:lvlText w:val="-"/>
      <w:lvlJc w:val="left"/>
      <w:pPr>
        <w:tabs>
          <w:tab w:val="num" w:pos="720"/>
        </w:tabs>
        <w:ind w:left="720" w:hanging="360"/>
      </w:pPr>
      <w:rPr>
        <w:rFonts w:hint="default" w:ascii="Arial" w:hAnsi="Arial"/>
      </w:rPr>
    </w:lvl>
    <w:lvl w:ilvl="1" w:tplc="643852FC" w:tentative="1">
      <w:start w:val="1"/>
      <w:numFmt w:val="bullet"/>
      <w:lvlText w:val="-"/>
      <w:lvlJc w:val="left"/>
      <w:pPr>
        <w:tabs>
          <w:tab w:val="num" w:pos="1440"/>
        </w:tabs>
        <w:ind w:left="1440" w:hanging="360"/>
      </w:pPr>
      <w:rPr>
        <w:rFonts w:hint="default" w:ascii="Arial" w:hAnsi="Arial"/>
      </w:rPr>
    </w:lvl>
    <w:lvl w:ilvl="2" w:tplc="F5F08FEE" w:tentative="1">
      <w:start w:val="1"/>
      <w:numFmt w:val="bullet"/>
      <w:lvlText w:val="-"/>
      <w:lvlJc w:val="left"/>
      <w:pPr>
        <w:tabs>
          <w:tab w:val="num" w:pos="2160"/>
        </w:tabs>
        <w:ind w:left="2160" w:hanging="360"/>
      </w:pPr>
      <w:rPr>
        <w:rFonts w:hint="default" w:ascii="Arial" w:hAnsi="Arial"/>
      </w:rPr>
    </w:lvl>
    <w:lvl w:ilvl="3" w:tplc="1B40E04A" w:tentative="1">
      <w:start w:val="1"/>
      <w:numFmt w:val="bullet"/>
      <w:lvlText w:val="-"/>
      <w:lvlJc w:val="left"/>
      <w:pPr>
        <w:tabs>
          <w:tab w:val="num" w:pos="2880"/>
        </w:tabs>
        <w:ind w:left="2880" w:hanging="360"/>
      </w:pPr>
      <w:rPr>
        <w:rFonts w:hint="default" w:ascii="Arial" w:hAnsi="Arial"/>
      </w:rPr>
    </w:lvl>
    <w:lvl w:ilvl="4" w:tplc="3B06A152" w:tentative="1">
      <w:start w:val="1"/>
      <w:numFmt w:val="bullet"/>
      <w:lvlText w:val="-"/>
      <w:lvlJc w:val="left"/>
      <w:pPr>
        <w:tabs>
          <w:tab w:val="num" w:pos="3600"/>
        </w:tabs>
        <w:ind w:left="3600" w:hanging="360"/>
      </w:pPr>
      <w:rPr>
        <w:rFonts w:hint="default" w:ascii="Arial" w:hAnsi="Arial"/>
      </w:rPr>
    </w:lvl>
    <w:lvl w:ilvl="5" w:tplc="4D2CEF48" w:tentative="1">
      <w:start w:val="1"/>
      <w:numFmt w:val="bullet"/>
      <w:lvlText w:val="-"/>
      <w:lvlJc w:val="left"/>
      <w:pPr>
        <w:tabs>
          <w:tab w:val="num" w:pos="4320"/>
        </w:tabs>
        <w:ind w:left="4320" w:hanging="360"/>
      </w:pPr>
      <w:rPr>
        <w:rFonts w:hint="default" w:ascii="Arial" w:hAnsi="Arial"/>
      </w:rPr>
    </w:lvl>
    <w:lvl w:ilvl="6" w:tplc="59F20F3C" w:tentative="1">
      <w:start w:val="1"/>
      <w:numFmt w:val="bullet"/>
      <w:lvlText w:val="-"/>
      <w:lvlJc w:val="left"/>
      <w:pPr>
        <w:tabs>
          <w:tab w:val="num" w:pos="5040"/>
        </w:tabs>
        <w:ind w:left="5040" w:hanging="360"/>
      </w:pPr>
      <w:rPr>
        <w:rFonts w:hint="default" w:ascii="Arial" w:hAnsi="Arial"/>
      </w:rPr>
    </w:lvl>
    <w:lvl w:ilvl="7" w:tplc="B1381D14" w:tentative="1">
      <w:start w:val="1"/>
      <w:numFmt w:val="bullet"/>
      <w:lvlText w:val="-"/>
      <w:lvlJc w:val="left"/>
      <w:pPr>
        <w:tabs>
          <w:tab w:val="num" w:pos="5760"/>
        </w:tabs>
        <w:ind w:left="5760" w:hanging="360"/>
      </w:pPr>
      <w:rPr>
        <w:rFonts w:hint="default" w:ascii="Arial" w:hAnsi="Arial"/>
      </w:rPr>
    </w:lvl>
    <w:lvl w:ilvl="8" w:tplc="0A6E894A" w:tentative="1">
      <w:start w:val="1"/>
      <w:numFmt w:val="bullet"/>
      <w:lvlText w:val="-"/>
      <w:lvlJc w:val="left"/>
      <w:pPr>
        <w:tabs>
          <w:tab w:val="num" w:pos="6480"/>
        </w:tabs>
        <w:ind w:left="6480" w:hanging="360"/>
      </w:pPr>
      <w:rPr>
        <w:rFonts w:hint="default" w:ascii="Arial" w:hAnsi="Arial"/>
      </w:rPr>
    </w:lvl>
  </w:abstractNum>
  <w:abstractNum w:abstractNumId="22" w15:restartNumberingAfterBreak="0">
    <w:nsid w:val="36EA67FC"/>
    <w:multiLevelType w:val="hybridMultilevel"/>
    <w:tmpl w:val="16EE2578"/>
    <w:lvl w:ilvl="0" w:tplc="CBB6A90C">
      <w:start w:val="1"/>
      <w:numFmt w:val="bullet"/>
      <w:lvlText w:val="-"/>
      <w:lvlJc w:val="left"/>
      <w:pPr>
        <w:tabs>
          <w:tab w:val="num" w:pos="720"/>
        </w:tabs>
        <w:ind w:left="720" w:hanging="360"/>
      </w:pPr>
      <w:rPr>
        <w:rFonts w:hint="default" w:ascii="Arial" w:hAnsi="Arial"/>
      </w:rPr>
    </w:lvl>
    <w:lvl w:ilvl="1" w:tplc="9A9CD8F0" w:tentative="1">
      <w:start w:val="1"/>
      <w:numFmt w:val="bullet"/>
      <w:lvlText w:val="-"/>
      <w:lvlJc w:val="left"/>
      <w:pPr>
        <w:tabs>
          <w:tab w:val="num" w:pos="1440"/>
        </w:tabs>
        <w:ind w:left="1440" w:hanging="360"/>
      </w:pPr>
      <w:rPr>
        <w:rFonts w:hint="default" w:ascii="Arial" w:hAnsi="Arial"/>
      </w:rPr>
    </w:lvl>
    <w:lvl w:ilvl="2" w:tplc="15EA3614" w:tentative="1">
      <w:start w:val="1"/>
      <w:numFmt w:val="bullet"/>
      <w:lvlText w:val="-"/>
      <w:lvlJc w:val="left"/>
      <w:pPr>
        <w:tabs>
          <w:tab w:val="num" w:pos="2160"/>
        </w:tabs>
        <w:ind w:left="2160" w:hanging="360"/>
      </w:pPr>
      <w:rPr>
        <w:rFonts w:hint="default" w:ascii="Arial" w:hAnsi="Arial"/>
      </w:rPr>
    </w:lvl>
    <w:lvl w:ilvl="3" w:tplc="F2DED596" w:tentative="1">
      <w:start w:val="1"/>
      <w:numFmt w:val="bullet"/>
      <w:lvlText w:val="-"/>
      <w:lvlJc w:val="left"/>
      <w:pPr>
        <w:tabs>
          <w:tab w:val="num" w:pos="2880"/>
        </w:tabs>
        <w:ind w:left="2880" w:hanging="360"/>
      </w:pPr>
      <w:rPr>
        <w:rFonts w:hint="default" w:ascii="Arial" w:hAnsi="Arial"/>
      </w:rPr>
    </w:lvl>
    <w:lvl w:ilvl="4" w:tplc="839EDA36" w:tentative="1">
      <w:start w:val="1"/>
      <w:numFmt w:val="bullet"/>
      <w:lvlText w:val="-"/>
      <w:lvlJc w:val="left"/>
      <w:pPr>
        <w:tabs>
          <w:tab w:val="num" w:pos="3600"/>
        </w:tabs>
        <w:ind w:left="3600" w:hanging="360"/>
      </w:pPr>
      <w:rPr>
        <w:rFonts w:hint="default" w:ascii="Arial" w:hAnsi="Arial"/>
      </w:rPr>
    </w:lvl>
    <w:lvl w:ilvl="5" w:tplc="0A743FDE" w:tentative="1">
      <w:start w:val="1"/>
      <w:numFmt w:val="bullet"/>
      <w:lvlText w:val="-"/>
      <w:lvlJc w:val="left"/>
      <w:pPr>
        <w:tabs>
          <w:tab w:val="num" w:pos="4320"/>
        </w:tabs>
        <w:ind w:left="4320" w:hanging="360"/>
      </w:pPr>
      <w:rPr>
        <w:rFonts w:hint="default" w:ascii="Arial" w:hAnsi="Arial"/>
      </w:rPr>
    </w:lvl>
    <w:lvl w:ilvl="6" w:tplc="8E9210B6" w:tentative="1">
      <w:start w:val="1"/>
      <w:numFmt w:val="bullet"/>
      <w:lvlText w:val="-"/>
      <w:lvlJc w:val="left"/>
      <w:pPr>
        <w:tabs>
          <w:tab w:val="num" w:pos="5040"/>
        </w:tabs>
        <w:ind w:left="5040" w:hanging="360"/>
      </w:pPr>
      <w:rPr>
        <w:rFonts w:hint="default" w:ascii="Arial" w:hAnsi="Arial"/>
      </w:rPr>
    </w:lvl>
    <w:lvl w:ilvl="7" w:tplc="86001DD8" w:tentative="1">
      <w:start w:val="1"/>
      <w:numFmt w:val="bullet"/>
      <w:lvlText w:val="-"/>
      <w:lvlJc w:val="left"/>
      <w:pPr>
        <w:tabs>
          <w:tab w:val="num" w:pos="5760"/>
        </w:tabs>
        <w:ind w:left="5760" w:hanging="360"/>
      </w:pPr>
      <w:rPr>
        <w:rFonts w:hint="default" w:ascii="Arial" w:hAnsi="Arial"/>
      </w:rPr>
    </w:lvl>
    <w:lvl w:ilvl="8" w:tplc="5562EF0A" w:tentative="1">
      <w:start w:val="1"/>
      <w:numFmt w:val="bullet"/>
      <w:lvlText w:val="-"/>
      <w:lvlJc w:val="left"/>
      <w:pPr>
        <w:tabs>
          <w:tab w:val="num" w:pos="6480"/>
        </w:tabs>
        <w:ind w:left="6480" w:hanging="360"/>
      </w:pPr>
      <w:rPr>
        <w:rFonts w:hint="default" w:ascii="Arial" w:hAnsi="Arial"/>
      </w:rPr>
    </w:lvl>
  </w:abstractNum>
  <w:abstractNum w:abstractNumId="23" w15:restartNumberingAfterBreak="0">
    <w:nsid w:val="394C653A"/>
    <w:multiLevelType w:val="hybridMultilevel"/>
    <w:tmpl w:val="6E94C0C0"/>
    <w:lvl w:ilvl="0" w:tplc="38AEC1B8">
      <w:start w:val="1"/>
      <w:numFmt w:val="bullet"/>
      <w:lvlText w:val="-"/>
      <w:lvlJc w:val="left"/>
      <w:pPr>
        <w:tabs>
          <w:tab w:val="num" w:pos="720"/>
        </w:tabs>
        <w:ind w:left="720" w:hanging="360"/>
      </w:pPr>
      <w:rPr>
        <w:rFonts w:hint="default" w:ascii="Arial" w:hAnsi="Arial"/>
      </w:rPr>
    </w:lvl>
    <w:lvl w:ilvl="1" w:tplc="23C0EFC0" w:tentative="1">
      <w:start w:val="1"/>
      <w:numFmt w:val="bullet"/>
      <w:lvlText w:val="-"/>
      <w:lvlJc w:val="left"/>
      <w:pPr>
        <w:tabs>
          <w:tab w:val="num" w:pos="1440"/>
        </w:tabs>
        <w:ind w:left="1440" w:hanging="360"/>
      </w:pPr>
      <w:rPr>
        <w:rFonts w:hint="default" w:ascii="Arial" w:hAnsi="Arial"/>
      </w:rPr>
    </w:lvl>
    <w:lvl w:ilvl="2" w:tplc="43601EA0" w:tentative="1">
      <w:start w:val="1"/>
      <w:numFmt w:val="bullet"/>
      <w:lvlText w:val="-"/>
      <w:lvlJc w:val="left"/>
      <w:pPr>
        <w:tabs>
          <w:tab w:val="num" w:pos="2160"/>
        </w:tabs>
        <w:ind w:left="2160" w:hanging="360"/>
      </w:pPr>
      <w:rPr>
        <w:rFonts w:hint="default" w:ascii="Arial" w:hAnsi="Arial"/>
      </w:rPr>
    </w:lvl>
    <w:lvl w:ilvl="3" w:tplc="4D540EE6" w:tentative="1">
      <w:start w:val="1"/>
      <w:numFmt w:val="bullet"/>
      <w:lvlText w:val="-"/>
      <w:lvlJc w:val="left"/>
      <w:pPr>
        <w:tabs>
          <w:tab w:val="num" w:pos="2880"/>
        </w:tabs>
        <w:ind w:left="2880" w:hanging="360"/>
      </w:pPr>
      <w:rPr>
        <w:rFonts w:hint="default" w:ascii="Arial" w:hAnsi="Arial"/>
      </w:rPr>
    </w:lvl>
    <w:lvl w:ilvl="4" w:tplc="F514C944" w:tentative="1">
      <w:start w:val="1"/>
      <w:numFmt w:val="bullet"/>
      <w:lvlText w:val="-"/>
      <w:lvlJc w:val="left"/>
      <w:pPr>
        <w:tabs>
          <w:tab w:val="num" w:pos="3600"/>
        </w:tabs>
        <w:ind w:left="3600" w:hanging="360"/>
      </w:pPr>
      <w:rPr>
        <w:rFonts w:hint="default" w:ascii="Arial" w:hAnsi="Arial"/>
      </w:rPr>
    </w:lvl>
    <w:lvl w:ilvl="5" w:tplc="E1B43EA8" w:tentative="1">
      <w:start w:val="1"/>
      <w:numFmt w:val="bullet"/>
      <w:lvlText w:val="-"/>
      <w:lvlJc w:val="left"/>
      <w:pPr>
        <w:tabs>
          <w:tab w:val="num" w:pos="4320"/>
        </w:tabs>
        <w:ind w:left="4320" w:hanging="360"/>
      </w:pPr>
      <w:rPr>
        <w:rFonts w:hint="default" w:ascii="Arial" w:hAnsi="Arial"/>
      </w:rPr>
    </w:lvl>
    <w:lvl w:ilvl="6" w:tplc="FDC66306" w:tentative="1">
      <w:start w:val="1"/>
      <w:numFmt w:val="bullet"/>
      <w:lvlText w:val="-"/>
      <w:lvlJc w:val="left"/>
      <w:pPr>
        <w:tabs>
          <w:tab w:val="num" w:pos="5040"/>
        </w:tabs>
        <w:ind w:left="5040" w:hanging="360"/>
      </w:pPr>
      <w:rPr>
        <w:rFonts w:hint="default" w:ascii="Arial" w:hAnsi="Arial"/>
      </w:rPr>
    </w:lvl>
    <w:lvl w:ilvl="7" w:tplc="68BEC9BE" w:tentative="1">
      <w:start w:val="1"/>
      <w:numFmt w:val="bullet"/>
      <w:lvlText w:val="-"/>
      <w:lvlJc w:val="left"/>
      <w:pPr>
        <w:tabs>
          <w:tab w:val="num" w:pos="5760"/>
        </w:tabs>
        <w:ind w:left="5760" w:hanging="360"/>
      </w:pPr>
      <w:rPr>
        <w:rFonts w:hint="default" w:ascii="Arial" w:hAnsi="Arial"/>
      </w:rPr>
    </w:lvl>
    <w:lvl w:ilvl="8" w:tplc="2E387DC4" w:tentative="1">
      <w:start w:val="1"/>
      <w:numFmt w:val="bullet"/>
      <w:lvlText w:val="-"/>
      <w:lvlJc w:val="left"/>
      <w:pPr>
        <w:tabs>
          <w:tab w:val="num" w:pos="6480"/>
        </w:tabs>
        <w:ind w:left="6480" w:hanging="360"/>
      </w:pPr>
      <w:rPr>
        <w:rFonts w:hint="default" w:ascii="Arial" w:hAnsi="Arial"/>
      </w:rPr>
    </w:lvl>
  </w:abstractNum>
  <w:abstractNum w:abstractNumId="24" w15:restartNumberingAfterBreak="0">
    <w:nsid w:val="3C0141B0"/>
    <w:multiLevelType w:val="hybridMultilevel"/>
    <w:tmpl w:val="9356DC42"/>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3E6B4FA3"/>
    <w:multiLevelType w:val="multilevel"/>
    <w:tmpl w:val="AAFE3DE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08D2A51"/>
    <w:multiLevelType w:val="hybridMultilevel"/>
    <w:tmpl w:val="8DF8D546"/>
    <w:lvl w:ilvl="0" w:tplc="6CEACD90">
      <w:start w:val="1"/>
      <w:numFmt w:val="bullet"/>
      <w:pStyle w:val="GroupHeading"/>
      <w:lvlText w:val="►"/>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6086B04"/>
    <w:multiLevelType w:val="hybridMultilevel"/>
    <w:tmpl w:val="F4B08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5F566E"/>
    <w:multiLevelType w:val="multilevel"/>
    <w:tmpl w:val="979A8952"/>
    <w:lvl w:ilvl="0">
      <w:start w:val="1"/>
      <w:numFmt w:val="decimal"/>
      <w:pStyle w:val="Heading1"/>
      <w:suff w:val="space"/>
      <w:lvlText w:val="%1. "/>
      <w:lvlJc w:val="left"/>
      <w:pPr>
        <w:ind w:left="0" w:firstLine="0"/>
      </w:pPr>
      <w:rPr>
        <w:rFonts w:hint="default"/>
        <w:w w:val="100"/>
        <w:sz w:val="130"/>
        <w:u w:val="thick"/>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680" w:firstLine="0"/>
      </w:pPr>
      <w:rPr>
        <w:rFonts w:hint="default"/>
      </w:rPr>
    </w:lvl>
    <w:lvl w:ilvl="3">
      <w:start w:val="1"/>
      <w:numFmt w:val="none"/>
      <w:pStyle w:val="Heading4"/>
      <w:suff w:val="nothing"/>
      <w:lvlText w:val=""/>
      <w:lvlJc w:val="left"/>
      <w:pPr>
        <w:ind w:left="680" w:firstLine="0"/>
      </w:pPr>
      <w:rPr>
        <w:rFonts w:hint="default"/>
      </w:rPr>
    </w:lvl>
    <w:lvl w:ilvl="4">
      <w:start w:val="1"/>
      <w:numFmt w:val="none"/>
      <w:pStyle w:val="Heading5"/>
      <w:suff w:val="nothing"/>
      <w:lvlText w:val=""/>
      <w:lvlJc w:val="left"/>
      <w:pPr>
        <w:ind w:left="851" w:firstLine="0"/>
      </w:pPr>
      <w:rPr>
        <w:rFonts w:hint="default"/>
      </w:rPr>
    </w:lvl>
    <w:lvl w:ilvl="5">
      <w:start w:val="1"/>
      <w:numFmt w:val="upperRoman"/>
      <w:lvlRestart w:val="0"/>
      <w:pStyle w:val="Heading6"/>
      <w:suff w:val="space"/>
      <w:lvlText w:val="Part %6."/>
      <w:lvlJc w:val="left"/>
      <w:pPr>
        <w:ind w:left="0" w:firstLine="0"/>
      </w:pPr>
      <w:rPr>
        <w:rFonts w:hint="default"/>
        <w:sz w:val="96"/>
      </w:rPr>
    </w:lvl>
    <w:lvl w:ilvl="6">
      <w:start w:val="1"/>
      <w:numFmt w:val="upperLetter"/>
      <w:lvlRestart w:val="0"/>
      <w:pStyle w:val="Heading7"/>
      <w:suff w:val="space"/>
      <w:lvlText w:val="Annex %7."/>
      <w:lvlJc w:val="left"/>
      <w:pPr>
        <w:ind w:left="0" w:firstLine="0"/>
      </w:pPr>
      <w:rPr>
        <w:rFonts w:hint="default"/>
      </w:rPr>
    </w:lvl>
    <w:lvl w:ilvl="7">
      <w:start w:val="1"/>
      <w:numFmt w:val="upperLetter"/>
      <w:lvlRestart w:val="6"/>
      <w:pStyle w:val="Heading8"/>
      <w:suff w:val="space"/>
      <w:lvlText w:val="Annex %6.%8."/>
      <w:lvlJc w:val="left"/>
      <w:pPr>
        <w:ind w:left="0" w:firstLine="0"/>
      </w:pPr>
      <w:rPr>
        <w:rFonts w:hint="default"/>
      </w:rPr>
    </w:lvl>
    <w:lvl w:ilvl="8">
      <w:start w:val="1"/>
      <w:numFmt w:val="upperLetter"/>
      <w:lvlRestart w:val="1"/>
      <w:pStyle w:val="Heading9"/>
      <w:suff w:val="space"/>
      <w:lvlText w:val="Annex %1.%9."/>
      <w:lvlJc w:val="left"/>
      <w:pPr>
        <w:ind w:left="0" w:firstLine="0"/>
      </w:pPr>
      <w:rPr>
        <w:rFonts w:hint="default"/>
      </w:rPr>
    </w:lvl>
  </w:abstractNum>
  <w:abstractNum w:abstractNumId="29" w15:restartNumberingAfterBreak="0">
    <w:nsid w:val="4FE25187"/>
    <w:multiLevelType w:val="hybridMultilevel"/>
    <w:tmpl w:val="CAE2F26C"/>
    <w:lvl w:ilvl="0" w:tplc="A6EADD62">
      <w:start w:val="1"/>
      <w:numFmt w:val="bullet"/>
      <w:lvlText w:val="-"/>
      <w:lvlJc w:val="left"/>
      <w:pPr>
        <w:tabs>
          <w:tab w:val="num" w:pos="548"/>
        </w:tabs>
        <w:ind w:left="548" w:hanging="360"/>
      </w:pPr>
      <w:rPr>
        <w:rFonts w:hint="default" w:ascii="Arial" w:hAnsi="Arial"/>
      </w:rPr>
    </w:lvl>
    <w:lvl w:ilvl="1" w:tplc="94B6AA80" w:tentative="1">
      <w:start w:val="1"/>
      <w:numFmt w:val="bullet"/>
      <w:lvlText w:val="-"/>
      <w:lvlJc w:val="left"/>
      <w:pPr>
        <w:tabs>
          <w:tab w:val="num" w:pos="1268"/>
        </w:tabs>
        <w:ind w:left="1268" w:hanging="360"/>
      </w:pPr>
      <w:rPr>
        <w:rFonts w:hint="default" w:ascii="Arial" w:hAnsi="Arial"/>
      </w:rPr>
    </w:lvl>
    <w:lvl w:ilvl="2" w:tplc="62247518" w:tentative="1">
      <w:start w:val="1"/>
      <w:numFmt w:val="bullet"/>
      <w:lvlText w:val="-"/>
      <w:lvlJc w:val="left"/>
      <w:pPr>
        <w:tabs>
          <w:tab w:val="num" w:pos="1988"/>
        </w:tabs>
        <w:ind w:left="1988" w:hanging="360"/>
      </w:pPr>
      <w:rPr>
        <w:rFonts w:hint="default" w:ascii="Arial" w:hAnsi="Arial"/>
      </w:rPr>
    </w:lvl>
    <w:lvl w:ilvl="3" w:tplc="9BBE60E0" w:tentative="1">
      <w:start w:val="1"/>
      <w:numFmt w:val="bullet"/>
      <w:lvlText w:val="-"/>
      <w:lvlJc w:val="left"/>
      <w:pPr>
        <w:tabs>
          <w:tab w:val="num" w:pos="2708"/>
        </w:tabs>
        <w:ind w:left="2708" w:hanging="360"/>
      </w:pPr>
      <w:rPr>
        <w:rFonts w:hint="default" w:ascii="Arial" w:hAnsi="Arial"/>
      </w:rPr>
    </w:lvl>
    <w:lvl w:ilvl="4" w:tplc="D1321B84" w:tentative="1">
      <w:start w:val="1"/>
      <w:numFmt w:val="bullet"/>
      <w:lvlText w:val="-"/>
      <w:lvlJc w:val="left"/>
      <w:pPr>
        <w:tabs>
          <w:tab w:val="num" w:pos="3428"/>
        </w:tabs>
        <w:ind w:left="3428" w:hanging="360"/>
      </w:pPr>
      <w:rPr>
        <w:rFonts w:hint="default" w:ascii="Arial" w:hAnsi="Arial"/>
      </w:rPr>
    </w:lvl>
    <w:lvl w:ilvl="5" w:tplc="DA4E73BA" w:tentative="1">
      <w:start w:val="1"/>
      <w:numFmt w:val="bullet"/>
      <w:lvlText w:val="-"/>
      <w:lvlJc w:val="left"/>
      <w:pPr>
        <w:tabs>
          <w:tab w:val="num" w:pos="4148"/>
        </w:tabs>
        <w:ind w:left="4148" w:hanging="360"/>
      </w:pPr>
      <w:rPr>
        <w:rFonts w:hint="default" w:ascii="Arial" w:hAnsi="Arial"/>
      </w:rPr>
    </w:lvl>
    <w:lvl w:ilvl="6" w:tplc="349A4B30" w:tentative="1">
      <w:start w:val="1"/>
      <w:numFmt w:val="bullet"/>
      <w:lvlText w:val="-"/>
      <w:lvlJc w:val="left"/>
      <w:pPr>
        <w:tabs>
          <w:tab w:val="num" w:pos="4868"/>
        </w:tabs>
        <w:ind w:left="4868" w:hanging="360"/>
      </w:pPr>
      <w:rPr>
        <w:rFonts w:hint="default" w:ascii="Arial" w:hAnsi="Arial"/>
      </w:rPr>
    </w:lvl>
    <w:lvl w:ilvl="7" w:tplc="C3B0C2EC" w:tentative="1">
      <w:start w:val="1"/>
      <w:numFmt w:val="bullet"/>
      <w:lvlText w:val="-"/>
      <w:lvlJc w:val="left"/>
      <w:pPr>
        <w:tabs>
          <w:tab w:val="num" w:pos="5588"/>
        </w:tabs>
        <w:ind w:left="5588" w:hanging="360"/>
      </w:pPr>
      <w:rPr>
        <w:rFonts w:hint="default" w:ascii="Arial" w:hAnsi="Arial"/>
      </w:rPr>
    </w:lvl>
    <w:lvl w:ilvl="8" w:tplc="6D2458CE" w:tentative="1">
      <w:start w:val="1"/>
      <w:numFmt w:val="bullet"/>
      <w:lvlText w:val="-"/>
      <w:lvlJc w:val="left"/>
      <w:pPr>
        <w:tabs>
          <w:tab w:val="num" w:pos="6308"/>
        </w:tabs>
        <w:ind w:left="6308" w:hanging="360"/>
      </w:pPr>
      <w:rPr>
        <w:rFonts w:hint="default" w:ascii="Arial" w:hAnsi="Arial"/>
      </w:rPr>
    </w:lvl>
  </w:abstractNum>
  <w:abstractNum w:abstractNumId="30" w15:restartNumberingAfterBreak="0">
    <w:nsid w:val="4FFD529E"/>
    <w:multiLevelType w:val="hybridMultilevel"/>
    <w:tmpl w:val="A2041198"/>
    <w:lvl w:ilvl="0" w:tplc="6A2ECA94">
      <w:start w:val="1"/>
      <w:numFmt w:val="bullet"/>
      <w:lvlText w:val="-"/>
      <w:lvlJc w:val="left"/>
      <w:pPr>
        <w:tabs>
          <w:tab w:val="num" w:pos="720"/>
        </w:tabs>
        <w:ind w:left="720" w:hanging="360"/>
      </w:pPr>
      <w:rPr>
        <w:rFonts w:hint="default" w:ascii="Arial" w:hAnsi="Arial"/>
      </w:rPr>
    </w:lvl>
    <w:lvl w:ilvl="1" w:tplc="3300E58C" w:tentative="1">
      <w:start w:val="1"/>
      <w:numFmt w:val="bullet"/>
      <w:lvlText w:val="-"/>
      <w:lvlJc w:val="left"/>
      <w:pPr>
        <w:tabs>
          <w:tab w:val="num" w:pos="1440"/>
        </w:tabs>
        <w:ind w:left="1440" w:hanging="360"/>
      </w:pPr>
      <w:rPr>
        <w:rFonts w:hint="default" w:ascii="Arial" w:hAnsi="Arial"/>
      </w:rPr>
    </w:lvl>
    <w:lvl w:ilvl="2" w:tplc="BA2238CC" w:tentative="1">
      <w:start w:val="1"/>
      <w:numFmt w:val="bullet"/>
      <w:lvlText w:val="-"/>
      <w:lvlJc w:val="left"/>
      <w:pPr>
        <w:tabs>
          <w:tab w:val="num" w:pos="2160"/>
        </w:tabs>
        <w:ind w:left="2160" w:hanging="360"/>
      </w:pPr>
      <w:rPr>
        <w:rFonts w:hint="default" w:ascii="Arial" w:hAnsi="Arial"/>
      </w:rPr>
    </w:lvl>
    <w:lvl w:ilvl="3" w:tplc="5374DE50" w:tentative="1">
      <w:start w:val="1"/>
      <w:numFmt w:val="bullet"/>
      <w:lvlText w:val="-"/>
      <w:lvlJc w:val="left"/>
      <w:pPr>
        <w:tabs>
          <w:tab w:val="num" w:pos="2880"/>
        </w:tabs>
        <w:ind w:left="2880" w:hanging="360"/>
      </w:pPr>
      <w:rPr>
        <w:rFonts w:hint="default" w:ascii="Arial" w:hAnsi="Arial"/>
      </w:rPr>
    </w:lvl>
    <w:lvl w:ilvl="4" w:tplc="37F4E40A" w:tentative="1">
      <w:start w:val="1"/>
      <w:numFmt w:val="bullet"/>
      <w:lvlText w:val="-"/>
      <w:lvlJc w:val="left"/>
      <w:pPr>
        <w:tabs>
          <w:tab w:val="num" w:pos="3600"/>
        </w:tabs>
        <w:ind w:left="3600" w:hanging="360"/>
      </w:pPr>
      <w:rPr>
        <w:rFonts w:hint="default" w:ascii="Arial" w:hAnsi="Arial"/>
      </w:rPr>
    </w:lvl>
    <w:lvl w:ilvl="5" w:tplc="E6F27326" w:tentative="1">
      <w:start w:val="1"/>
      <w:numFmt w:val="bullet"/>
      <w:lvlText w:val="-"/>
      <w:lvlJc w:val="left"/>
      <w:pPr>
        <w:tabs>
          <w:tab w:val="num" w:pos="4320"/>
        </w:tabs>
        <w:ind w:left="4320" w:hanging="360"/>
      </w:pPr>
      <w:rPr>
        <w:rFonts w:hint="default" w:ascii="Arial" w:hAnsi="Arial"/>
      </w:rPr>
    </w:lvl>
    <w:lvl w:ilvl="6" w:tplc="F9F27D08" w:tentative="1">
      <w:start w:val="1"/>
      <w:numFmt w:val="bullet"/>
      <w:lvlText w:val="-"/>
      <w:lvlJc w:val="left"/>
      <w:pPr>
        <w:tabs>
          <w:tab w:val="num" w:pos="5040"/>
        </w:tabs>
        <w:ind w:left="5040" w:hanging="360"/>
      </w:pPr>
      <w:rPr>
        <w:rFonts w:hint="default" w:ascii="Arial" w:hAnsi="Arial"/>
      </w:rPr>
    </w:lvl>
    <w:lvl w:ilvl="7" w:tplc="309A0448" w:tentative="1">
      <w:start w:val="1"/>
      <w:numFmt w:val="bullet"/>
      <w:lvlText w:val="-"/>
      <w:lvlJc w:val="left"/>
      <w:pPr>
        <w:tabs>
          <w:tab w:val="num" w:pos="5760"/>
        </w:tabs>
        <w:ind w:left="5760" w:hanging="360"/>
      </w:pPr>
      <w:rPr>
        <w:rFonts w:hint="default" w:ascii="Arial" w:hAnsi="Arial"/>
      </w:rPr>
    </w:lvl>
    <w:lvl w:ilvl="8" w:tplc="7B480932" w:tentative="1">
      <w:start w:val="1"/>
      <w:numFmt w:val="bullet"/>
      <w:lvlText w:val="-"/>
      <w:lvlJc w:val="left"/>
      <w:pPr>
        <w:tabs>
          <w:tab w:val="num" w:pos="6480"/>
        </w:tabs>
        <w:ind w:left="6480" w:hanging="360"/>
      </w:pPr>
      <w:rPr>
        <w:rFonts w:hint="default" w:ascii="Arial" w:hAnsi="Arial"/>
      </w:rPr>
    </w:lvl>
  </w:abstractNum>
  <w:abstractNum w:abstractNumId="31" w15:restartNumberingAfterBreak="0">
    <w:nsid w:val="5176726A"/>
    <w:multiLevelType w:val="hybridMultilevel"/>
    <w:tmpl w:val="79729880"/>
    <w:lvl w:ilvl="0" w:tplc="D9AAEAE0">
      <w:start w:val="1"/>
      <w:numFmt w:val="bullet"/>
      <w:pStyle w:val="BulletedList"/>
      <w:lvlText w:val=""/>
      <w:lvlJc w:val="left"/>
      <w:pPr>
        <w:ind w:left="680" w:hanging="340"/>
      </w:pPr>
      <w:rPr>
        <w:rFonts w:hint="default" w:ascii="Symbol" w:hAnsi="Symbol"/>
        <w:color w:val="4E81BD" w:themeColor="accent1"/>
      </w:rPr>
    </w:lvl>
    <w:lvl w:ilvl="1" w:tplc="3DD45682">
      <w:start w:val="1"/>
      <w:numFmt w:val="bullet"/>
      <w:lvlText w:val="o"/>
      <w:lvlJc w:val="left"/>
      <w:pPr>
        <w:tabs>
          <w:tab w:val="num" w:pos="680"/>
        </w:tabs>
        <w:ind w:left="1021" w:hanging="341"/>
      </w:pPr>
      <w:rPr>
        <w:rFonts w:hint="default" w:ascii="Courier New" w:hAnsi="Courier New"/>
      </w:rPr>
    </w:lvl>
    <w:lvl w:ilvl="2" w:tplc="75A6C844">
      <w:start w:val="1"/>
      <w:numFmt w:val="bullet"/>
      <w:lvlText w:val="‒"/>
      <w:lvlJc w:val="left"/>
      <w:pPr>
        <w:tabs>
          <w:tab w:val="num" w:pos="1021"/>
        </w:tabs>
        <w:ind w:left="1361" w:hanging="340"/>
      </w:pPr>
      <w:rPr>
        <w:rFonts w:hint="default" w:ascii="Calibri" w:hAnsi="Calibri"/>
      </w:rPr>
    </w:lvl>
    <w:lvl w:ilvl="3" w:tplc="DDBC079E">
      <w:start w:val="1"/>
      <w:numFmt w:val="bullet"/>
      <w:lvlText w:val="‒"/>
      <w:lvlJc w:val="left"/>
      <w:pPr>
        <w:tabs>
          <w:tab w:val="num" w:pos="1361"/>
        </w:tabs>
        <w:ind w:left="1701" w:hanging="340"/>
      </w:pPr>
      <w:rPr>
        <w:rFonts w:hint="default" w:ascii="Calibri" w:hAnsi="Calibri"/>
      </w:rPr>
    </w:lvl>
    <w:lvl w:ilvl="4" w:tplc="FA7AE4F4">
      <w:start w:val="1"/>
      <w:numFmt w:val="bullet"/>
      <w:lvlText w:val="‒"/>
      <w:lvlJc w:val="left"/>
      <w:pPr>
        <w:tabs>
          <w:tab w:val="num" w:pos="1701"/>
        </w:tabs>
        <w:ind w:left="2041" w:hanging="340"/>
      </w:pPr>
      <w:rPr>
        <w:rFonts w:hint="default" w:ascii="Calibri" w:hAnsi="Calibri"/>
      </w:rPr>
    </w:lvl>
    <w:lvl w:ilvl="5" w:tplc="04090005" w:tentative="1">
      <w:start w:val="1"/>
      <w:numFmt w:val="bullet"/>
      <w:lvlText w:val=""/>
      <w:lvlJc w:val="left"/>
      <w:pPr>
        <w:ind w:left="4774" w:hanging="360"/>
      </w:pPr>
      <w:rPr>
        <w:rFonts w:hint="default" w:ascii="Wingdings" w:hAnsi="Wingdings"/>
      </w:rPr>
    </w:lvl>
    <w:lvl w:ilvl="6" w:tplc="04090001" w:tentative="1">
      <w:start w:val="1"/>
      <w:numFmt w:val="bullet"/>
      <w:lvlText w:val=""/>
      <w:lvlJc w:val="left"/>
      <w:pPr>
        <w:ind w:left="5494" w:hanging="360"/>
      </w:pPr>
      <w:rPr>
        <w:rFonts w:hint="default" w:ascii="Symbol" w:hAnsi="Symbol"/>
      </w:rPr>
    </w:lvl>
    <w:lvl w:ilvl="7" w:tplc="04090003" w:tentative="1">
      <w:start w:val="1"/>
      <w:numFmt w:val="bullet"/>
      <w:lvlText w:val="o"/>
      <w:lvlJc w:val="left"/>
      <w:pPr>
        <w:ind w:left="6214" w:hanging="360"/>
      </w:pPr>
      <w:rPr>
        <w:rFonts w:hint="default" w:ascii="Courier New" w:hAnsi="Courier New" w:cs="Courier New"/>
      </w:rPr>
    </w:lvl>
    <w:lvl w:ilvl="8" w:tplc="04090005" w:tentative="1">
      <w:start w:val="1"/>
      <w:numFmt w:val="bullet"/>
      <w:lvlText w:val=""/>
      <w:lvlJc w:val="left"/>
      <w:pPr>
        <w:ind w:left="6934" w:hanging="360"/>
      </w:pPr>
      <w:rPr>
        <w:rFonts w:hint="default" w:ascii="Wingdings" w:hAnsi="Wingdings"/>
      </w:rPr>
    </w:lvl>
  </w:abstractNum>
  <w:abstractNum w:abstractNumId="32" w15:restartNumberingAfterBreak="0">
    <w:nsid w:val="51E57346"/>
    <w:multiLevelType w:val="hybridMultilevel"/>
    <w:tmpl w:val="25E6461E"/>
    <w:lvl w:ilvl="0" w:tplc="66F427BC">
      <w:start w:val="1"/>
      <w:numFmt w:val="bullet"/>
      <w:lvlText w:val="-"/>
      <w:lvlJc w:val="left"/>
      <w:pPr>
        <w:tabs>
          <w:tab w:val="num" w:pos="720"/>
        </w:tabs>
        <w:ind w:left="720" w:hanging="360"/>
      </w:pPr>
      <w:rPr>
        <w:rFonts w:hint="default" w:ascii="Arial" w:hAnsi="Arial"/>
      </w:rPr>
    </w:lvl>
    <w:lvl w:ilvl="1" w:tplc="C04EF0CC" w:tentative="1">
      <w:start w:val="1"/>
      <w:numFmt w:val="bullet"/>
      <w:lvlText w:val="-"/>
      <w:lvlJc w:val="left"/>
      <w:pPr>
        <w:tabs>
          <w:tab w:val="num" w:pos="1440"/>
        </w:tabs>
        <w:ind w:left="1440" w:hanging="360"/>
      </w:pPr>
      <w:rPr>
        <w:rFonts w:hint="default" w:ascii="Arial" w:hAnsi="Arial"/>
      </w:rPr>
    </w:lvl>
    <w:lvl w:ilvl="2" w:tplc="7CE4C1AC" w:tentative="1">
      <w:start w:val="1"/>
      <w:numFmt w:val="bullet"/>
      <w:lvlText w:val="-"/>
      <w:lvlJc w:val="left"/>
      <w:pPr>
        <w:tabs>
          <w:tab w:val="num" w:pos="2160"/>
        </w:tabs>
        <w:ind w:left="2160" w:hanging="360"/>
      </w:pPr>
      <w:rPr>
        <w:rFonts w:hint="default" w:ascii="Arial" w:hAnsi="Arial"/>
      </w:rPr>
    </w:lvl>
    <w:lvl w:ilvl="3" w:tplc="79C269EE" w:tentative="1">
      <w:start w:val="1"/>
      <w:numFmt w:val="bullet"/>
      <w:lvlText w:val="-"/>
      <w:lvlJc w:val="left"/>
      <w:pPr>
        <w:tabs>
          <w:tab w:val="num" w:pos="2880"/>
        </w:tabs>
        <w:ind w:left="2880" w:hanging="360"/>
      </w:pPr>
      <w:rPr>
        <w:rFonts w:hint="default" w:ascii="Arial" w:hAnsi="Arial"/>
      </w:rPr>
    </w:lvl>
    <w:lvl w:ilvl="4" w:tplc="64848BB2" w:tentative="1">
      <w:start w:val="1"/>
      <w:numFmt w:val="bullet"/>
      <w:lvlText w:val="-"/>
      <w:lvlJc w:val="left"/>
      <w:pPr>
        <w:tabs>
          <w:tab w:val="num" w:pos="3600"/>
        </w:tabs>
        <w:ind w:left="3600" w:hanging="360"/>
      </w:pPr>
      <w:rPr>
        <w:rFonts w:hint="default" w:ascii="Arial" w:hAnsi="Arial"/>
      </w:rPr>
    </w:lvl>
    <w:lvl w:ilvl="5" w:tplc="AA307D2C" w:tentative="1">
      <w:start w:val="1"/>
      <w:numFmt w:val="bullet"/>
      <w:lvlText w:val="-"/>
      <w:lvlJc w:val="left"/>
      <w:pPr>
        <w:tabs>
          <w:tab w:val="num" w:pos="4320"/>
        </w:tabs>
        <w:ind w:left="4320" w:hanging="360"/>
      </w:pPr>
      <w:rPr>
        <w:rFonts w:hint="default" w:ascii="Arial" w:hAnsi="Arial"/>
      </w:rPr>
    </w:lvl>
    <w:lvl w:ilvl="6" w:tplc="7A962DE6" w:tentative="1">
      <w:start w:val="1"/>
      <w:numFmt w:val="bullet"/>
      <w:lvlText w:val="-"/>
      <w:lvlJc w:val="left"/>
      <w:pPr>
        <w:tabs>
          <w:tab w:val="num" w:pos="5040"/>
        </w:tabs>
        <w:ind w:left="5040" w:hanging="360"/>
      </w:pPr>
      <w:rPr>
        <w:rFonts w:hint="default" w:ascii="Arial" w:hAnsi="Arial"/>
      </w:rPr>
    </w:lvl>
    <w:lvl w:ilvl="7" w:tplc="4CC80B74" w:tentative="1">
      <w:start w:val="1"/>
      <w:numFmt w:val="bullet"/>
      <w:lvlText w:val="-"/>
      <w:lvlJc w:val="left"/>
      <w:pPr>
        <w:tabs>
          <w:tab w:val="num" w:pos="5760"/>
        </w:tabs>
        <w:ind w:left="5760" w:hanging="360"/>
      </w:pPr>
      <w:rPr>
        <w:rFonts w:hint="default" w:ascii="Arial" w:hAnsi="Arial"/>
      </w:rPr>
    </w:lvl>
    <w:lvl w:ilvl="8" w:tplc="AA4EF298" w:tentative="1">
      <w:start w:val="1"/>
      <w:numFmt w:val="bullet"/>
      <w:lvlText w:val="-"/>
      <w:lvlJc w:val="left"/>
      <w:pPr>
        <w:tabs>
          <w:tab w:val="num" w:pos="6480"/>
        </w:tabs>
        <w:ind w:left="6480" w:hanging="360"/>
      </w:pPr>
      <w:rPr>
        <w:rFonts w:hint="default" w:ascii="Arial" w:hAnsi="Arial"/>
      </w:rPr>
    </w:lvl>
  </w:abstractNum>
  <w:abstractNum w:abstractNumId="33" w15:restartNumberingAfterBreak="0">
    <w:nsid w:val="55A90829"/>
    <w:multiLevelType w:val="hybridMultilevel"/>
    <w:tmpl w:val="8B54B8EA"/>
    <w:lvl w:ilvl="0" w:tplc="5B14A184">
      <w:start w:val="1"/>
      <w:numFmt w:val="bullet"/>
      <w:lvlText w:val="-"/>
      <w:lvlJc w:val="left"/>
      <w:pPr>
        <w:tabs>
          <w:tab w:val="num" w:pos="720"/>
        </w:tabs>
        <w:ind w:left="720" w:hanging="360"/>
      </w:pPr>
      <w:rPr>
        <w:rFonts w:hint="default" w:ascii="Arial" w:hAnsi="Arial"/>
      </w:rPr>
    </w:lvl>
    <w:lvl w:ilvl="1" w:tplc="F0382EF0" w:tentative="1">
      <w:start w:val="1"/>
      <w:numFmt w:val="bullet"/>
      <w:lvlText w:val="-"/>
      <w:lvlJc w:val="left"/>
      <w:pPr>
        <w:tabs>
          <w:tab w:val="num" w:pos="1440"/>
        </w:tabs>
        <w:ind w:left="1440" w:hanging="360"/>
      </w:pPr>
      <w:rPr>
        <w:rFonts w:hint="default" w:ascii="Arial" w:hAnsi="Arial"/>
      </w:rPr>
    </w:lvl>
    <w:lvl w:ilvl="2" w:tplc="37B692F4" w:tentative="1">
      <w:start w:val="1"/>
      <w:numFmt w:val="bullet"/>
      <w:lvlText w:val="-"/>
      <w:lvlJc w:val="left"/>
      <w:pPr>
        <w:tabs>
          <w:tab w:val="num" w:pos="2160"/>
        </w:tabs>
        <w:ind w:left="2160" w:hanging="360"/>
      </w:pPr>
      <w:rPr>
        <w:rFonts w:hint="default" w:ascii="Arial" w:hAnsi="Arial"/>
      </w:rPr>
    </w:lvl>
    <w:lvl w:ilvl="3" w:tplc="1486AFBE" w:tentative="1">
      <w:start w:val="1"/>
      <w:numFmt w:val="bullet"/>
      <w:lvlText w:val="-"/>
      <w:lvlJc w:val="left"/>
      <w:pPr>
        <w:tabs>
          <w:tab w:val="num" w:pos="2880"/>
        </w:tabs>
        <w:ind w:left="2880" w:hanging="360"/>
      </w:pPr>
      <w:rPr>
        <w:rFonts w:hint="default" w:ascii="Arial" w:hAnsi="Arial"/>
      </w:rPr>
    </w:lvl>
    <w:lvl w:ilvl="4" w:tplc="8616A1FE" w:tentative="1">
      <w:start w:val="1"/>
      <w:numFmt w:val="bullet"/>
      <w:lvlText w:val="-"/>
      <w:lvlJc w:val="left"/>
      <w:pPr>
        <w:tabs>
          <w:tab w:val="num" w:pos="3600"/>
        </w:tabs>
        <w:ind w:left="3600" w:hanging="360"/>
      </w:pPr>
      <w:rPr>
        <w:rFonts w:hint="default" w:ascii="Arial" w:hAnsi="Arial"/>
      </w:rPr>
    </w:lvl>
    <w:lvl w:ilvl="5" w:tplc="19180C02" w:tentative="1">
      <w:start w:val="1"/>
      <w:numFmt w:val="bullet"/>
      <w:lvlText w:val="-"/>
      <w:lvlJc w:val="left"/>
      <w:pPr>
        <w:tabs>
          <w:tab w:val="num" w:pos="4320"/>
        </w:tabs>
        <w:ind w:left="4320" w:hanging="360"/>
      </w:pPr>
      <w:rPr>
        <w:rFonts w:hint="default" w:ascii="Arial" w:hAnsi="Arial"/>
      </w:rPr>
    </w:lvl>
    <w:lvl w:ilvl="6" w:tplc="F8C41782" w:tentative="1">
      <w:start w:val="1"/>
      <w:numFmt w:val="bullet"/>
      <w:lvlText w:val="-"/>
      <w:lvlJc w:val="left"/>
      <w:pPr>
        <w:tabs>
          <w:tab w:val="num" w:pos="5040"/>
        </w:tabs>
        <w:ind w:left="5040" w:hanging="360"/>
      </w:pPr>
      <w:rPr>
        <w:rFonts w:hint="default" w:ascii="Arial" w:hAnsi="Arial"/>
      </w:rPr>
    </w:lvl>
    <w:lvl w:ilvl="7" w:tplc="52DACF78" w:tentative="1">
      <w:start w:val="1"/>
      <w:numFmt w:val="bullet"/>
      <w:lvlText w:val="-"/>
      <w:lvlJc w:val="left"/>
      <w:pPr>
        <w:tabs>
          <w:tab w:val="num" w:pos="5760"/>
        </w:tabs>
        <w:ind w:left="5760" w:hanging="360"/>
      </w:pPr>
      <w:rPr>
        <w:rFonts w:hint="default" w:ascii="Arial" w:hAnsi="Arial"/>
      </w:rPr>
    </w:lvl>
    <w:lvl w:ilvl="8" w:tplc="EA206D6E" w:tentative="1">
      <w:start w:val="1"/>
      <w:numFmt w:val="bullet"/>
      <w:lvlText w:val="-"/>
      <w:lvlJc w:val="left"/>
      <w:pPr>
        <w:tabs>
          <w:tab w:val="num" w:pos="6480"/>
        </w:tabs>
        <w:ind w:left="6480" w:hanging="360"/>
      </w:pPr>
      <w:rPr>
        <w:rFonts w:hint="default" w:ascii="Arial" w:hAnsi="Arial"/>
      </w:rPr>
    </w:lvl>
  </w:abstractNum>
  <w:abstractNum w:abstractNumId="34" w15:restartNumberingAfterBreak="0">
    <w:nsid w:val="55AC782B"/>
    <w:multiLevelType w:val="multilevel"/>
    <w:tmpl w:val="DB76C3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74D7A08"/>
    <w:multiLevelType w:val="hybridMultilevel"/>
    <w:tmpl w:val="B330CD9A"/>
    <w:lvl w:ilvl="0" w:tplc="25E4F69E">
      <w:start w:val="1"/>
      <w:numFmt w:val="bullet"/>
      <w:lvlText w:val="-"/>
      <w:lvlJc w:val="left"/>
      <w:pPr>
        <w:tabs>
          <w:tab w:val="num" w:pos="720"/>
        </w:tabs>
        <w:ind w:left="720" w:hanging="360"/>
      </w:pPr>
      <w:rPr>
        <w:rFonts w:hint="default" w:ascii="Arial" w:hAnsi="Arial"/>
      </w:rPr>
    </w:lvl>
    <w:lvl w:ilvl="1" w:tplc="9766B2DE" w:tentative="1">
      <w:start w:val="1"/>
      <w:numFmt w:val="bullet"/>
      <w:lvlText w:val="-"/>
      <w:lvlJc w:val="left"/>
      <w:pPr>
        <w:tabs>
          <w:tab w:val="num" w:pos="1440"/>
        </w:tabs>
        <w:ind w:left="1440" w:hanging="360"/>
      </w:pPr>
      <w:rPr>
        <w:rFonts w:hint="default" w:ascii="Arial" w:hAnsi="Arial"/>
      </w:rPr>
    </w:lvl>
    <w:lvl w:ilvl="2" w:tplc="A52402EC" w:tentative="1">
      <w:start w:val="1"/>
      <w:numFmt w:val="bullet"/>
      <w:lvlText w:val="-"/>
      <w:lvlJc w:val="left"/>
      <w:pPr>
        <w:tabs>
          <w:tab w:val="num" w:pos="2160"/>
        </w:tabs>
        <w:ind w:left="2160" w:hanging="360"/>
      </w:pPr>
      <w:rPr>
        <w:rFonts w:hint="default" w:ascii="Arial" w:hAnsi="Arial"/>
      </w:rPr>
    </w:lvl>
    <w:lvl w:ilvl="3" w:tplc="526AFDFE" w:tentative="1">
      <w:start w:val="1"/>
      <w:numFmt w:val="bullet"/>
      <w:lvlText w:val="-"/>
      <w:lvlJc w:val="left"/>
      <w:pPr>
        <w:tabs>
          <w:tab w:val="num" w:pos="2880"/>
        </w:tabs>
        <w:ind w:left="2880" w:hanging="360"/>
      </w:pPr>
      <w:rPr>
        <w:rFonts w:hint="default" w:ascii="Arial" w:hAnsi="Arial"/>
      </w:rPr>
    </w:lvl>
    <w:lvl w:ilvl="4" w:tplc="9DBA967A" w:tentative="1">
      <w:start w:val="1"/>
      <w:numFmt w:val="bullet"/>
      <w:lvlText w:val="-"/>
      <w:lvlJc w:val="left"/>
      <w:pPr>
        <w:tabs>
          <w:tab w:val="num" w:pos="3600"/>
        </w:tabs>
        <w:ind w:left="3600" w:hanging="360"/>
      </w:pPr>
      <w:rPr>
        <w:rFonts w:hint="default" w:ascii="Arial" w:hAnsi="Arial"/>
      </w:rPr>
    </w:lvl>
    <w:lvl w:ilvl="5" w:tplc="564C0DA2" w:tentative="1">
      <w:start w:val="1"/>
      <w:numFmt w:val="bullet"/>
      <w:lvlText w:val="-"/>
      <w:lvlJc w:val="left"/>
      <w:pPr>
        <w:tabs>
          <w:tab w:val="num" w:pos="4320"/>
        </w:tabs>
        <w:ind w:left="4320" w:hanging="360"/>
      </w:pPr>
      <w:rPr>
        <w:rFonts w:hint="default" w:ascii="Arial" w:hAnsi="Arial"/>
      </w:rPr>
    </w:lvl>
    <w:lvl w:ilvl="6" w:tplc="568826D8" w:tentative="1">
      <w:start w:val="1"/>
      <w:numFmt w:val="bullet"/>
      <w:lvlText w:val="-"/>
      <w:lvlJc w:val="left"/>
      <w:pPr>
        <w:tabs>
          <w:tab w:val="num" w:pos="5040"/>
        </w:tabs>
        <w:ind w:left="5040" w:hanging="360"/>
      </w:pPr>
      <w:rPr>
        <w:rFonts w:hint="default" w:ascii="Arial" w:hAnsi="Arial"/>
      </w:rPr>
    </w:lvl>
    <w:lvl w:ilvl="7" w:tplc="AFDE7076" w:tentative="1">
      <w:start w:val="1"/>
      <w:numFmt w:val="bullet"/>
      <w:lvlText w:val="-"/>
      <w:lvlJc w:val="left"/>
      <w:pPr>
        <w:tabs>
          <w:tab w:val="num" w:pos="5760"/>
        </w:tabs>
        <w:ind w:left="5760" w:hanging="360"/>
      </w:pPr>
      <w:rPr>
        <w:rFonts w:hint="default" w:ascii="Arial" w:hAnsi="Arial"/>
      </w:rPr>
    </w:lvl>
    <w:lvl w:ilvl="8" w:tplc="D00252CC" w:tentative="1">
      <w:start w:val="1"/>
      <w:numFmt w:val="bullet"/>
      <w:lvlText w:val="-"/>
      <w:lvlJc w:val="left"/>
      <w:pPr>
        <w:tabs>
          <w:tab w:val="num" w:pos="6480"/>
        </w:tabs>
        <w:ind w:left="6480" w:hanging="360"/>
      </w:pPr>
      <w:rPr>
        <w:rFonts w:hint="default" w:ascii="Arial" w:hAnsi="Arial"/>
      </w:rPr>
    </w:lvl>
  </w:abstractNum>
  <w:abstractNum w:abstractNumId="36" w15:restartNumberingAfterBreak="0">
    <w:nsid w:val="6F113CFA"/>
    <w:multiLevelType w:val="hybridMultilevel"/>
    <w:tmpl w:val="0E8EDBF8"/>
    <w:lvl w:ilvl="0" w:tplc="3708C112">
      <w:start w:val="1"/>
      <w:numFmt w:val="bullet"/>
      <w:lvlText w:val="-"/>
      <w:lvlJc w:val="left"/>
      <w:pPr>
        <w:tabs>
          <w:tab w:val="num" w:pos="720"/>
        </w:tabs>
        <w:ind w:left="720" w:hanging="360"/>
      </w:pPr>
      <w:rPr>
        <w:rFonts w:hint="default" w:ascii="Arial" w:hAnsi="Arial"/>
      </w:rPr>
    </w:lvl>
    <w:lvl w:ilvl="1" w:tplc="64F80D5A" w:tentative="1">
      <w:start w:val="1"/>
      <w:numFmt w:val="bullet"/>
      <w:lvlText w:val="-"/>
      <w:lvlJc w:val="left"/>
      <w:pPr>
        <w:tabs>
          <w:tab w:val="num" w:pos="1440"/>
        </w:tabs>
        <w:ind w:left="1440" w:hanging="360"/>
      </w:pPr>
      <w:rPr>
        <w:rFonts w:hint="default" w:ascii="Arial" w:hAnsi="Arial"/>
      </w:rPr>
    </w:lvl>
    <w:lvl w:ilvl="2" w:tplc="8982E0A4" w:tentative="1">
      <w:start w:val="1"/>
      <w:numFmt w:val="bullet"/>
      <w:lvlText w:val="-"/>
      <w:lvlJc w:val="left"/>
      <w:pPr>
        <w:tabs>
          <w:tab w:val="num" w:pos="2160"/>
        </w:tabs>
        <w:ind w:left="2160" w:hanging="360"/>
      </w:pPr>
      <w:rPr>
        <w:rFonts w:hint="default" w:ascii="Arial" w:hAnsi="Arial"/>
      </w:rPr>
    </w:lvl>
    <w:lvl w:ilvl="3" w:tplc="94029D42" w:tentative="1">
      <w:start w:val="1"/>
      <w:numFmt w:val="bullet"/>
      <w:lvlText w:val="-"/>
      <w:lvlJc w:val="left"/>
      <w:pPr>
        <w:tabs>
          <w:tab w:val="num" w:pos="2880"/>
        </w:tabs>
        <w:ind w:left="2880" w:hanging="360"/>
      </w:pPr>
      <w:rPr>
        <w:rFonts w:hint="default" w:ascii="Arial" w:hAnsi="Arial"/>
      </w:rPr>
    </w:lvl>
    <w:lvl w:ilvl="4" w:tplc="5C6868C0" w:tentative="1">
      <w:start w:val="1"/>
      <w:numFmt w:val="bullet"/>
      <w:lvlText w:val="-"/>
      <w:lvlJc w:val="left"/>
      <w:pPr>
        <w:tabs>
          <w:tab w:val="num" w:pos="3600"/>
        </w:tabs>
        <w:ind w:left="3600" w:hanging="360"/>
      </w:pPr>
      <w:rPr>
        <w:rFonts w:hint="default" w:ascii="Arial" w:hAnsi="Arial"/>
      </w:rPr>
    </w:lvl>
    <w:lvl w:ilvl="5" w:tplc="0010E18A" w:tentative="1">
      <w:start w:val="1"/>
      <w:numFmt w:val="bullet"/>
      <w:lvlText w:val="-"/>
      <w:lvlJc w:val="left"/>
      <w:pPr>
        <w:tabs>
          <w:tab w:val="num" w:pos="4320"/>
        </w:tabs>
        <w:ind w:left="4320" w:hanging="360"/>
      </w:pPr>
      <w:rPr>
        <w:rFonts w:hint="default" w:ascii="Arial" w:hAnsi="Arial"/>
      </w:rPr>
    </w:lvl>
    <w:lvl w:ilvl="6" w:tplc="FB6CE21A" w:tentative="1">
      <w:start w:val="1"/>
      <w:numFmt w:val="bullet"/>
      <w:lvlText w:val="-"/>
      <w:lvlJc w:val="left"/>
      <w:pPr>
        <w:tabs>
          <w:tab w:val="num" w:pos="5040"/>
        </w:tabs>
        <w:ind w:left="5040" w:hanging="360"/>
      </w:pPr>
      <w:rPr>
        <w:rFonts w:hint="default" w:ascii="Arial" w:hAnsi="Arial"/>
      </w:rPr>
    </w:lvl>
    <w:lvl w:ilvl="7" w:tplc="8DF21810" w:tentative="1">
      <w:start w:val="1"/>
      <w:numFmt w:val="bullet"/>
      <w:lvlText w:val="-"/>
      <w:lvlJc w:val="left"/>
      <w:pPr>
        <w:tabs>
          <w:tab w:val="num" w:pos="5760"/>
        </w:tabs>
        <w:ind w:left="5760" w:hanging="360"/>
      </w:pPr>
      <w:rPr>
        <w:rFonts w:hint="default" w:ascii="Arial" w:hAnsi="Arial"/>
      </w:rPr>
    </w:lvl>
    <w:lvl w:ilvl="8" w:tplc="76AADEFE" w:tentative="1">
      <w:start w:val="1"/>
      <w:numFmt w:val="bullet"/>
      <w:lvlText w:val="-"/>
      <w:lvlJc w:val="left"/>
      <w:pPr>
        <w:tabs>
          <w:tab w:val="num" w:pos="6480"/>
        </w:tabs>
        <w:ind w:left="6480" w:hanging="360"/>
      </w:pPr>
      <w:rPr>
        <w:rFonts w:hint="default" w:ascii="Arial" w:hAnsi="Arial"/>
      </w:rPr>
    </w:lvl>
  </w:abstractNum>
  <w:abstractNum w:abstractNumId="37" w15:restartNumberingAfterBreak="0">
    <w:nsid w:val="6F613D76"/>
    <w:multiLevelType w:val="hybridMultilevel"/>
    <w:tmpl w:val="0C6A9850"/>
    <w:lvl w:ilvl="0" w:tplc="ABF8CA7A">
      <w:start w:val="1"/>
      <w:numFmt w:val="bullet"/>
      <w:lvlText w:val="-"/>
      <w:lvlJc w:val="left"/>
      <w:pPr>
        <w:tabs>
          <w:tab w:val="num" w:pos="720"/>
        </w:tabs>
        <w:ind w:left="720" w:hanging="360"/>
      </w:pPr>
      <w:rPr>
        <w:rFonts w:hint="default" w:ascii="Arial" w:hAnsi="Arial"/>
      </w:rPr>
    </w:lvl>
    <w:lvl w:ilvl="1" w:tplc="566CD49E" w:tentative="1">
      <w:start w:val="1"/>
      <w:numFmt w:val="bullet"/>
      <w:lvlText w:val="-"/>
      <w:lvlJc w:val="left"/>
      <w:pPr>
        <w:tabs>
          <w:tab w:val="num" w:pos="1440"/>
        </w:tabs>
        <w:ind w:left="1440" w:hanging="360"/>
      </w:pPr>
      <w:rPr>
        <w:rFonts w:hint="default" w:ascii="Arial" w:hAnsi="Arial"/>
      </w:rPr>
    </w:lvl>
    <w:lvl w:ilvl="2" w:tplc="6004D1F2" w:tentative="1">
      <w:start w:val="1"/>
      <w:numFmt w:val="bullet"/>
      <w:lvlText w:val="-"/>
      <w:lvlJc w:val="left"/>
      <w:pPr>
        <w:tabs>
          <w:tab w:val="num" w:pos="2160"/>
        </w:tabs>
        <w:ind w:left="2160" w:hanging="360"/>
      </w:pPr>
      <w:rPr>
        <w:rFonts w:hint="default" w:ascii="Arial" w:hAnsi="Arial"/>
      </w:rPr>
    </w:lvl>
    <w:lvl w:ilvl="3" w:tplc="AAF045DC" w:tentative="1">
      <w:start w:val="1"/>
      <w:numFmt w:val="bullet"/>
      <w:lvlText w:val="-"/>
      <w:lvlJc w:val="left"/>
      <w:pPr>
        <w:tabs>
          <w:tab w:val="num" w:pos="2880"/>
        </w:tabs>
        <w:ind w:left="2880" w:hanging="360"/>
      </w:pPr>
      <w:rPr>
        <w:rFonts w:hint="default" w:ascii="Arial" w:hAnsi="Arial"/>
      </w:rPr>
    </w:lvl>
    <w:lvl w:ilvl="4" w:tplc="81285E0A" w:tentative="1">
      <w:start w:val="1"/>
      <w:numFmt w:val="bullet"/>
      <w:lvlText w:val="-"/>
      <w:lvlJc w:val="left"/>
      <w:pPr>
        <w:tabs>
          <w:tab w:val="num" w:pos="3600"/>
        </w:tabs>
        <w:ind w:left="3600" w:hanging="360"/>
      </w:pPr>
      <w:rPr>
        <w:rFonts w:hint="default" w:ascii="Arial" w:hAnsi="Arial"/>
      </w:rPr>
    </w:lvl>
    <w:lvl w:ilvl="5" w:tplc="2FA2D268" w:tentative="1">
      <w:start w:val="1"/>
      <w:numFmt w:val="bullet"/>
      <w:lvlText w:val="-"/>
      <w:lvlJc w:val="left"/>
      <w:pPr>
        <w:tabs>
          <w:tab w:val="num" w:pos="4320"/>
        </w:tabs>
        <w:ind w:left="4320" w:hanging="360"/>
      </w:pPr>
      <w:rPr>
        <w:rFonts w:hint="default" w:ascii="Arial" w:hAnsi="Arial"/>
      </w:rPr>
    </w:lvl>
    <w:lvl w:ilvl="6" w:tplc="6E6CC906" w:tentative="1">
      <w:start w:val="1"/>
      <w:numFmt w:val="bullet"/>
      <w:lvlText w:val="-"/>
      <w:lvlJc w:val="left"/>
      <w:pPr>
        <w:tabs>
          <w:tab w:val="num" w:pos="5040"/>
        </w:tabs>
        <w:ind w:left="5040" w:hanging="360"/>
      </w:pPr>
      <w:rPr>
        <w:rFonts w:hint="default" w:ascii="Arial" w:hAnsi="Arial"/>
      </w:rPr>
    </w:lvl>
    <w:lvl w:ilvl="7" w:tplc="A2F41B38" w:tentative="1">
      <w:start w:val="1"/>
      <w:numFmt w:val="bullet"/>
      <w:lvlText w:val="-"/>
      <w:lvlJc w:val="left"/>
      <w:pPr>
        <w:tabs>
          <w:tab w:val="num" w:pos="5760"/>
        </w:tabs>
        <w:ind w:left="5760" w:hanging="360"/>
      </w:pPr>
      <w:rPr>
        <w:rFonts w:hint="default" w:ascii="Arial" w:hAnsi="Arial"/>
      </w:rPr>
    </w:lvl>
    <w:lvl w:ilvl="8" w:tplc="A5D8F4D8" w:tentative="1">
      <w:start w:val="1"/>
      <w:numFmt w:val="bullet"/>
      <w:lvlText w:val="-"/>
      <w:lvlJc w:val="left"/>
      <w:pPr>
        <w:tabs>
          <w:tab w:val="num" w:pos="6480"/>
        </w:tabs>
        <w:ind w:left="6480" w:hanging="360"/>
      </w:pPr>
      <w:rPr>
        <w:rFonts w:hint="default" w:ascii="Arial" w:hAnsi="Arial"/>
      </w:rPr>
    </w:lvl>
  </w:abstractNum>
  <w:abstractNum w:abstractNumId="38" w15:restartNumberingAfterBreak="0">
    <w:nsid w:val="735C5AB7"/>
    <w:multiLevelType w:val="hybridMultilevel"/>
    <w:tmpl w:val="7548BF20"/>
    <w:lvl w:ilvl="0" w:tplc="37F2CDEC">
      <w:start w:val="1"/>
      <w:numFmt w:val="bullet"/>
      <w:lvlText w:val=""/>
      <w:lvlJc w:val="left"/>
      <w:pPr>
        <w:tabs>
          <w:tab w:val="num" w:pos="340"/>
        </w:tabs>
        <w:ind w:left="1361" w:hanging="340"/>
      </w:pPr>
      <w:rPr>
        <w:rFonts w:hint="default" w:ascii="Symbol" w:hAnsi="Symbol"/>
      </w:rPr>
    </w:lvl>
    <w:lvl w:ilvl="1" w:tplc="5D76F430">
      <w:start w:val="1"/>
      <w:numFmt w:val="bullet"/>
      <w:lvlText w:val="o"/>
      <w:lvlJc w:val="left"/>
      <w:pPr>
        <w:tabs>
          <w:tab w:val="num" w:pos="340"/>
        </w:tabs>
        <w:ind w:left="1701" w:hanging="340"/>
      </w:pPr>
      <w:rPr>
        <w:rFonts w:hint="default" w:ascii="Courier New" w:hAnsi="Courier New"/>
      </w:rPr>
    </w:lvl>
    <w:lvl w:ilvl="2" w:tplc="F6E2001C">
      <w:start w:val="1"/>
      <w:numFmt w:val="bullet"/>
      <w:lvlText w:val="˗"/>
      <w:lvlJc w:val="left"/>
      <w:pPr>
        <w:tabs>
          <w:tab w:val="num" w:pos="340"/>
        </w:tabs>
        <w:ind w:left="2041" w:hanging="340"/>
      </w:pPr>
      <w:rPr>
        <w:rFonts w:hint="default" w:ascii="Times New Roman" w:hAnsi="Times New Roman" w:cs="Times New Roman"/>
      </w:rPr>
    </w:lvl>
    <w:lvl w:ilvl="3" w:tplc="FD7E6002">
      <w:start w:val="1"/>
      <w:numFmt w:val="bullet"/>
      <w:lvlText w:val="˗"/>
      <w:lvlJc w:val="left"/>
      <w:pPr>
        <w:tabs>
          <w:tab w:val="num" w:pos="340"/>
        </w:tabs>
        <w:ind w:left="2381" w:hanging="340"/>
      </w:pPr>
      <w:rPr>
        <w:rFonts w:hint="default" w:ascii="Times New Roman" w:hAnsi="Times New Roman" w:cs="Times New Roman"/>
      </w:rPr>
    </w:lvl>
    <w:lvl w:ilvl="4" w:tplc="B6D4948C">
      <w:start w:val="1"/>
      <w:numFmt w:val="bullet"/>
      <w:lvlText w:val="˗"/>
      <w:lvlJc w:val="left"/>
      <w:pPr>
        <w:tabs>
          <w:tab w:val="num" w:pos="340"/>
        </w:tabs>
        <w:ind w:left="2722" w:hanging="341"/>
      </w:pPr>
      <w:rPr>
        <w:rFonts w:hint="default" w:ascii="Times New Roman" w:hAnsi="Times New Roman" w:cs="Times New Roman"/>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9" w15:restartNumberingAfterBreak="0">
    <w:nsid w:val="77205EE9"/>
    <w:multiLevelType w:val="hybridMultilevel"/>
    <w:tmpl w:val="AD40F174"/>
    <w:lvl w:ilvl="0" w:tplc="AA54C83A">
      <w:start w:val="1"/>
      <w:numFmt w:val="bullet"/>
      <w:lvlText w:val="-"/>
      <w:lvlJc w:val="left"/>
      <w:pPr>
        <w:tabs>
          <w:tab w:val="num" w:pos="720"/>
        </w:tabs>
        <w:ind w:left="720" w:hanging="360"/>
      </w:pPr>
      <w:rPr>
        <w:rFonts w:hint="default" w:ascii="Arial" w:hAnsi="Arial"/>
      </w:rPr>
    </w:lvl>
    <w:lvl w:ilvl="1" w:tplc="EE0E4A96" w:tentative="1">
      <w:start w:val="1"/>
      <w:numFmt w:val="bullet"/>
      <w:lvlText w:val="-"/>
      <w:lvlJc w:val="left"/>
      <w:pPr>
        <w:tabs>
          <w:tab w:val="num" w:pos="1440"/>
        </w:tabs>
        <w:ind w:left="1440" w:hanging="360"/>
      </w:pPr>
      <w:rPr>
        <w:rFonts w:hint="default" w:ascii="Arial" w:hAnsi="Arial"/>
      </w:rPr>
    </w:lvl>
    <w:lvl w:ilvl="2" w:tplc="CDF4ABBC" w:tentative="1">
      <w:start w:val="1"/>
      <w:numFmt w:val="bullet"/>
      <w:lvlText w:val="-"/>
      <w:lvlJc w:val="left"/>
      <w:pPr>
        <w:tabs>
          <w:tab w:val="num" w:pos="2160"/>
        </w:tabs>
        <w:ind w:left="2160" w:hanging="360"/>
      </w:pPr>
      <w:rPr>
        <w:rFonts w:hint="default" w:ascii="Arial" w:hAnsi="Arial"/>
      </w:rPr>
    </w:lvl>
    <w:lvl w:ilvl="3" w:tplc="D390BAC4" w:tentative="1">
      <w:start w:val="1"/>
      <w:numFmt w:val="bullet"/>
      <w:lvlText w:val="-"/>
      <w:lvlJc w:val="left"/>
      <w:pPr>
        <w:tabs>
          <w:tab w:val="num" w:pos="2880"/>
        </w:tabs>
        <w:ind w:left="2880" w:hanging="360"/>
      </w:pPr>
      <w:rPr>
        <w:rFonts w:hint="default" w:ascii="Arial" w:hAnsi="Arial"/>
      </w:rPr>
    </w:lvl>
    <w:lvl w:ilvl="4" w:tplc="943C5174" w:tentative="1">
      <w:start w:val="1"/>
      <w:numFmt w:val="bullet"/>
      <w:lvlText w:val="-"/>
      <w:lvlJc w:val="left"/>
      <w:pPr>
        <w:tabs>
          <w:tab w:val="num" w:pos="3600"/>
        </w:tabs>
        <w:ind w:left="3600" w:hanging="360"/>
      </w:pPr>
      <w:rPr>
        <w:rFonts w:hint="default" w:ascii="Arial" w:hAnsi="Arial"/>
      </w:rPr>
    </w:lvl>
    <w:lvl w:ilvl="5" w:tplc="2F181872" w:tentative="1">
      <w:start w:val="1"/>
      <w:numFmt w:val="bullet"/>
      <w:lvlText w:val="-"/>
      <w:lvlJc w:val="left"/>
      <w:pPr>
        <w:tabs>
          <w:tab w:val="num" w:pos="4320"/>
        </w:tabs>
        <w:ind w:left="4320" w:hanging="360"/>
      </w:pPr>
      <w:rPr>
        <w:rFonts w:hint="default" w:ascii="Arial" w:hAnsi="Arial"/>
      </w:rPr>
    </w:lvl>
    <w:lvl w:ilvl="6" w:tplc="281E63C2" w:tentative="1">
      <w:start w:val="1"/>
      <w:numFmt w:val="bullet"/>
      <w:lvlText w:val="-"/>
      <w:lvlJc w:val="left"/>
      <w:pPr>
        <w:tabs>
          <w:tab w:val="num" w:pos="5040"/>
        </w:tabs>
        <w:ind w:left="5040" w:hanging="360"/>
      </w:pPr>
      <w:rPr>
        <w:rFonts w:hint="default" w:ascii="Arial" w:hAnsi="Arial"/>
      </w:rPr>
    </w:lvl>
    <w:lvl w:ilvl="7" w:tplc="625256C4" w:tentative="1">
      <w:start w:val="1"/>
      <w:numFmt w:val="bullet"/>
      <w:lvlText w:val="-"/>
      <w:lvlJc w:val="left"/>
      <w:pPr>
        <w:tabs>
          <w:tab w:val="num" w:pos="5760"/>
        </w:tabs>
        <w:ind w:left="5760" w:hanging="360"/>
      </w:pPr>
      <w:rPr>
        <w:rFonts w:hint="default" w:ascii="Arial" w:hAnsi="Arial"/>
      </w:rPr>
    </w:lvl>
    <w:lvl w:ilvl="8" w:tplc="F9106BA8" w:tentative="1">
      <w:start w:val="1"/>
      <w:numFmt w:val="bullet"/>
      <w:lvlText w:val="-"/>
      <w:lvlJc w:val="left"/>
      <w:pPr>
        <w:tabs>
          <w:tab w:val="num" w:pos="6480"/>
        </w:tabs>
        <w:ind w:left="6480" w:hanging="360"/>
      </w:pPr>
      <w:rPr>
        <w:rFonts w:hint="default" w:ascii="Arial" w:hAnsi="Arial"/>
      </w:rPr>
    </w:lvl>
  </w:abstractNum>
  <w:abstractNum w:abstractNumId="40" w15:restartNumberingAfterBreak="0">
    <w:nsid w:val="78D5459A"/>
    <w:multiLevelType w:val="hybridMultilevel"/>
    <w:tmpl w:val="C488222E"/>
    <w:lvl w:ilvl="0" w:tplc="C200EE30">
      <w:start w:val="1"/>
      <w:numFmt w:val="bullet"/>
      <w:lvlText w:val="-"/>
      <w:lvlJc w:val="left"/>
      <w:pPr>
        <w:tabs>
          <w:tab w:val="num" w:pos="720"/>
        </w:tabs>
        <w:ind w:left="720" w:hanging="360"/>
      </w:pPr>
      <w:rPr>
        <w:rFonts w:hint="default" w:ascii="Arial" w:hAnsi="Arial"/>
      </w:rPr>
    </w:lvl>
    <w:lvl w:ilvl="1" w:tplc="5AC4A248" w:tentative="1">
      <w:start w:val="1"/>
      <w:numFmt w:val="bullet"/>
      <w:lvlText w:val="-"/>
      <w:lvlJc w:val="left"/>
      <w:pPr>
        <w:tabs>
          <w:tab w:val="num" w:pos="1440"/>
        </w:tabs>
        <w:ind w:left="1440" w:hanging="360"/>
      </w:pPr>
      <w:rPr>
        <w:rFonts w:hint="default" w:ascii="Arial" w:hAnsi="Arial"/>
      </w:rPr>
    </w:lvl>
    <w:lvl w:ilvl="2" w:tplc="540CDF44" w:tentative="1">
      <w:start w:val="1"/>
      <w:numFmt w:val="bullet"/>
      <w:lvlText w:val="-"/>
      <w:lvlJc w:val="left"/>
      <w:pPr>
        <w:tabs>
          <w:tab w:val="num" w:pos="2160"/>
        </w:tabs>
        <w:ind w:left="2160" w:hanging="360"/>
      </w:pPr>
      <w:rPr>
        <w:rFonts w:hint="default" w:ascii="Arial" w:hAnsi="Arial"/>
      </w:rPr>
    </w:lvl>
    <w:lvl w:ilvl="3" w:tplc="C5CA7840" w:tentative="1">
      <w:start w:val="1"/>
      <w:numFmt w:val="bullet"/>
      <w:lvlText w:val="-"/>
      <w:lvlJc w:val="left"/>
      <w:pPr>
        <w:tabs>
          <w:tab w:val="num" w:pos="2880"/>
        </w:tabs>
        <w:ind w:left="2880" w:hanging="360"/>
      </w:pPr>
      <w:rPr>
        <w:rFonts w:hint="default" w:ascii="Arial" w:hAnsi="Arial"/>
      </w:rPr>
    </w:lvl>
    <w:lvl w:ilvl="4" w:tplc="C100ACFC" w:tentative="1">
      <w:start w:val="1"/>
      <w:numFmt w:val="bullet"/>
      <w:lvlText w:val="-"/>
      <w:lvlJc w:val="left"/>
      <w:pPr>
        <w:tabs>
          <w:tab w:val="num" w:pos="3600"/>
        </w:tabs>
        <w:ind w:left="3600" w:hanging="360"/>
      </w:pPr>
      <w:rPr>
        <w:rFonts w:hint="default" w:ascii="Arial" w:hAnsi="Arial"/>
      </w:rPr>
    </w:lvl>
    <w:lvl w:ilvl="5" w:tplc="EDB00262" w:tentative="1">
      <w:start w:val="1"/>
      <w:numFmt w:val="bullet"/>
      <w:lvlText w:val="-"/>
      <w:lvlJc w:val="left"/>
      <w:pPr>
        <w:tabs>
          <w:tab w:val="num" w:pos="4320"/>
        </w:tabs>
        <w:ind w:left="4320" w:hanging="360"/>
      </w:pPr>
      <w:rPr>
        <w:rFonts w:hint="default" w:ascii="Arial" w:hAnsi="Arial"/>
      </w:rPr>
    </w:lvl>
    <w:lvl w:ilvl="6" w:tplc="AEA8DB00" w:tentative="1">
      <w:start w:val="1"/>
      <w:numFmt w:val="bullet"/>
      <w:lvlText w:val="-"/>
      <w:lvlJc w:val="left"/>
      <w:pPr>
        <w:tabs>
          <w:tab w:val="num" w:pos="5040"/>
        </w:tabs>
        <w:ind w:left="5040" w:hanging="360"/>
      </w:pPr>
      <w:rPr>
        <w:rFonts w:hint="default" w:ascii="Arial" w:hAnsi="Arial"/>
      </w:rPr>
    </w:lvl>
    <w:lvl w:ilvl="7" w:tplc="3E023E3E" w:tentative="1">
      <w:start w:val="1"/>
      <w:numFmt w:val="bullet"/>
      <w:lvlText w:val="-"/>
      <w:lvlJc w:val="left"/>
      <w:pPr>
        <w:tabs>
          <w:tab w:val="num" w:pos="5760"/>
        </w:tabs>
        <w:ind w:left="5760" w:hanging="360"/>
      </w:pPr>
      <w:rPr>
        <w:rFonts w:hint="default" w:ascii="Arial" w:hAnsi="Arial"/>
      </w:rPr>
    </w:lvl>
    <w:lvl w:ilvl="8" w:tplc="2F8A2262" w:tentative="1">
      <w:start w:val="1"/>
      <w:numFmt w:val="bullet"/>
      <w:lvlText w:val="-"/>
      <w:lvlJc w:val="left"/>
      <w:pPr>
        <w:tabs>
          <w:tab w:val="num" w:pos="6480"/>
        </w:tabs>
        <w:ind w:left="6480" w:hanging="360"/>
      </w:pPr>
      <w:rPr>
        <w:rFonts w:hint="default" w:ascii="Arial" w:hAnsi="Arial"/>
      </w:rPr>
    </w:lvl>
  </w:abstractNum>
  <w:abstractNum w:abstractNumId="41" w15:restartNumberingAfterBreak="0">
    <w:nsid w:val="7A6D7173"/>
    <w:multiLevelType w:val="hybridMultilevel"/>
    <w:tmpl w:val="2B00F9CC"/>
    <w:lvl w:ilvl="0" w:tplc="C5DAAED2">
      <w:start w:val="1"/>
      <w:numFmt w:val="bullet"/>
      <w:lvlText w:val="•"/>
      <w:lvlJc w:val="left"/>
      <w:pPr>
        <w:tabs>
          <w:tab w:val="num" w:pos="720"/>
        </w:tabs>
        <w:ind w:left="720" w:hanging="360"/>
      </w:pPr>
      <w:rPr>
        <w:rFonts w:hint="default" w:ascii="Arial" w:hAnsi="Arial"/>
      </w:rPr>
    </w:lvl>
    <w:lvl w:ilvl="1" w:tplc="55063A24">
      <w:start w:val="1"/>
      <w:numFmt w:val="bullet"/>
      <w:lvlText w:val="•"/>
      <w:lvlJc w:val="left"/>
      <w:pPr>
        <w:tabs>
          <w:tab w:val="num" w:pos="1440"/>
        </w:tabs>
        <w:ind w:left="1440" w:hanging="360"/>
      </w:pPr>
      <w:rPr>
        <w:rFonts w:hint="default" w:ascii="Arial" w:hAnsi="Arial"/>
      </w:rPr>
    </w:lvl>
    <w:lvl w:ilvl="2" w:tplc="08CCED72">
      <w:numFmt w:val="bullet"/>
      <w:lvlText w:val="•"/>
      <w:lvlJc w:val="left"/>
      <w:pPr>
        <w:tabs>
          <w:tab w:val="num" w:pos="2160"/>
        </w:tabs>
        <w:ind w:left="2160" w:hanging="360"/>
      </w:pPr>
      <w:rPr>
        <w:rFonts w:hint="default" w:ascii="Arial" w:hAnsi="Arial"/>
      </w:rPr>
    </w:lvl>
    <w:lvl w:ilvl="3" w:tplc="F3720922" w:tentative="1">
      <w:start w:val="1"/>
      <w:numFmt w:val="bullet"/>
      <w:lvlText w:val="•"/>
      <w:lvlJc w:val="left"/>
      <w:pPr>
        <w:tabs>
          <w:tab w:val="num" w:pos="2880"/>
        </w:tabs>
        <w:ind w:left="2880" w:hanging="360"/>
      </w:pPr>
      <w:rPr>
        <w:rFonts w:hint="default" w:ascii="Arial" w:hAnsi="Arial"/>
      </w:rPr>
    </w:lvl>
    <w:lvl w:ilvl="4" w:tplc="DF1241F6" w:tentative="1">
      <w:start w:val="1"/>
      <w:numFmt w:val="bullet"/>
      <w:lvlText w:val="•"/>
      <w:lvlJc w:val="left"/>
      <w:pPr>
        <w:tabs>
          <w:tab w:val="num" w:pos="3600"/>
        </w:tabs>
        <w:ind w:left="3600" w:hanging="360"/>
      </w:pPr>
      <w:rPr>
        <w:rFonts w:hint="default" w:ascii="Arial" w:hAnsi="Arial"/>
      </w:rPr>
    </w:lvl>
    <w:lvl w:ilvl="5" w:tplc="C4966BE2" w:tentative="1">
      <w:start w:val="1"/>
      <w:numFmt w:val="bullet"/>
      <w:lvlText w:val="•"/>
      <w:lvlJc w:val="left"/>
      <w:pPr>
        <w:tabs>
          <w:tab w:val="num" w:pos="4320"/>
        </w:tabs>
        <w:ind w:left="4320" w:hanging="360"/>
      </w:pPr>
      <w:rPr>
        <w:rFonts w:hint="default" w:ascii="Arial" w:hAnsi="Arial"/>
      </w:rPr>
    </w:lvl>
    <w:lvl w:ilvl="6" w:tplc="4A007606" w:tentative="1">
      <w:start w:val="1"/>
      <w:numFmt w:val="bullet"/>
      <w:lvlText w:val="•"/>
      <w:lvlJc w:val="left"/>
      <w:pPr>
        <w:tabs>
          <w:tab w:val="num" w:pos="5040"/>
        </w:tabs>
        <w:ind w:left="5040" w:hanging="360"/>
      </w:pPr>
      <w:rPr>
        <w:rFonts w:hint="default" w:ascii="Arial" w:hAnsi="Arial"/>
      </w:rPr>
    </w:lvl>
    <w:lvl w:ilvl="7" w:tplc="68E8EF26" w:tentative="1">
      <w:start w:val="1"/>
      <w:numFmt w:val="bullet"/>
      <w:lvlText w:val="•"/>
      <w:lvlJc w:val="left"/>
      <w:pPr>
        <w:tabs>
          <w:tab w:val="num" w:pos="5760"/>
        </w:tabs>
        <w:ind w:left="5760" w:hanging="360"/>
      </w:pPr>
      <w:rPr>
        <w:rFonts w:hint="default" w:ascii="Arial" w:hAnsi="Arial"/>
      </w:rPr>
    </w:lvl>
    <w:lvl w:ilvl="8" w:tplc="088E6898" w:tentative="1">
      <w:start w:val="1"/>
      <w:numFmt w:val="bullet"/>
      <w:lvlText w:val="•"/>
      <w:lvlJc w:val="left"/>
      <w:pPr>
        <w:tabs>
          <w:tab w:val="num" w:pos="6480"/>
        </w:tabs>
        <w:ind w:left="6480" w:hanging="360"/>
      </w:pPr>
      <w:rPr>
        <w:rFonts w:hint="default" w:ascii="Arial" w:hAnsi="Arial"/>
      </w:rPr>
    </w:lvl>
  </w:abstractNum>
  <w:abstractNum w:abstractNumId="42" w15:restartNumberingAfterBreak="0">
    <w:nsid w:val="7A7D5CCA"/>
    <w:multiLevelType w:val="hybridMultilevel"/>
    <w:tmpl w:val="09AC7C78"/>
    <w:lvl w:ilvl="0" w:tplc="6EEE3A90">
      <w:start w:val="1"/>
      <w:numFmt w:val="bullet"/>
      <w:lvlText w:val="-"/>
      <w:lvlJc w:val="left"/>
      <w:pPr>
        <w:tabs>
          <w:tab w:val="num" w:pos="720"/>
        </w:tabs>
        <w:ind w:left="720" w:hanging="360"/>
      </w:pPr>
      <w:rPr>
        <w:rFonts w:hint="default" w:ascii="Arial" w:hAnsi="Arial"/>
      </w:rPr>
    </w:lvl>
    <w:lvl w:ilvl="1" w:tplc="20C0D25A" w:tentative="1">
      <w:start w:val="1"/>
      <w:numFmt w:val="bullet"/>
      <w:lvlText w:val="-"/>
      <w:lvlJc w:val="left"/>
      <w:pPr>
        <w:tabs>
          <w:tab w:val="num" w:pos="1440"/>
        </w:tabs>
        <w:ind w:left="1440" w:hanging="360"/>
      </w:pPr>
      <w:rPr>
        <w:rFonts w:hint="default" w:ascii="Arial" w:hAnsi="Arial"/>
      </w:rPr>
    </w:lvl>
    <w:lvl w:ilvl="2" w:tplc="77FA5520" w:tentative="1">
      <w:start w:val="1"/>
      <w:numFmt w:val="bullet"/>
      <w:lvlText w:val="-"/>
      <w:lvlJc w:val="left"/>
      <w:pPr>
        <w:tabs>
          <w:tab w:val="num" w:pos="2160"/>
        </w:tabs>
        <w:ind w:left="2160" w:hanging="360"/>
      </w:pPr>
      <w:rPr>
        <w:rFonts w:hint="default" w:ascii="Arial" w:hAnsi="Arial"/>
      </w:rPr>
    </w:lvl>
    <w:lvl w:ilvl="3" w:tplc="13AE50D8" w:tentative="1">
      <w:start w:val="1"/>
      <w:numFmt w:val="bullet"/>
      <w:lvlText w:val="-"/>
      <w:lvlJc w:val="left"/>
      <w:pPr>
        <w:tabs>
          <w:tab w:val="num" w:pos="2880"/>
        </w:tabs>
        <w:ind w:left="2880" w:hanging="360"/>
      </w:pPr>
      <w:rPr>
        <w:rFonts w:hint="default" w:ascii="Arial" w:hAnsi="Arial"/>
      </w:rPr>
    </w:lvl>
    <w:lvl w:ilvl="4" w:tplc="E180AD6C" w:tentative="1">
      <w:start w:val="1"/>
      <w:numFmt w:val="bullet"/>
      <w:lvlText w:val="-"/>
      <w:lvlJc w:val="left"/>
      <w:pPr>
        <w:tabs>
          <w:tab w:val="num" w:pos="3600"/>
        </w:tabs>
        <w:ind w:left="3600" w:hanging="360"/>
      </w:pPr>
      <w:rPr>
        <w:rFonts w:hint="default" w:ascii="Arial" w:hAnsi="Arial"/>
      </w:rPr>
    </w:lvl>
    <w:lvl w:ilvl="5" w:tplc="98DCA468" w:tentative="1">
      <w:start w:val="1"/>
      <w:numFmt w:val="bullet"/>
      <w:lvlText w:val="-"/>
      <w:lvlJc w:val="left"/>
      <w:pPr>
        <w:tabs>
          <w:tab w:val="num" w:pos="4320"/>
        </w:tabs>
        <w:ind w:left="4320" w:hanging="360"/>
      </w:pPr>
      <w:rPr>
        <w:rFonts w:hint="default" w:ascii="Arial" w:hAnsi="Arial"/>
      </w:rPr>
    </w:lvl>
    <w:lvl w:ilvl="6" w:tplc="DAC2BFB4" w:tentative="1">
      <w:start w:val="1"/>
      <w:numFmt w:val="bullet"/>
      <w:lvlText w:val="-"/>
      <w:lvlJc w:val="left"/>
      <w:pPr>
        <w:tabs>
          <w:tab w:val="num" w:pos="5040"/>
        </w:tabs>
        <w:ind w:left="5040" w:hanging="360"/>
      </w:pPr>
      <w:rPr>
        <w:rFonts w:hint="default" w:ascii="Arial" w:hAnsi="Arial"/>
      </w:rPr>
    </w:lvl>
    <w:lvl w:ilvl="7" w:tplc="D3F62686" w:tentative="1">
      <w:start w:val="1"/>
      <w:numFmt w:val="bullet"/>
      <w:lvlText w:val="-"/>
      <w:lvlJc w:val="left"/>
      <w:pPr>
        <w:tabs>
          <w:tab w:val="num" w:pos="5760"/>
        </w:tabs>
        <w:ind w:left="5760" w:hanging="360"/>
      </w:pPr>
      <w:rPr>
        <w:rFonts w:hint="default" w:ascii="Arial" w:hAnsi="Arial"/>
      </w:rPr>
    </w:lvl>
    <w:lvl w:ilvl="8" w:tplc="32F8A974" w:tentative="1">
      <w:start w:val="1"/>
      <w:numFmt w:val="bullet"/>
      <w:lvlText w:val="-"/>
      <w:lvlJc w:val="left"/>
      <w:pPr>
        <w:tabs>
          <w:tab w:val="num" w:pos="6480"/>
        </w:tabs>
        <w:ind w:left="6480" w:hanging="360"/>
      </w:pPr>
      <w:rPr>
        <w:rFonts w:hint="default" w:ascii="Arial" w:hAnsi="Arial"/>
      </w:rPr>
    </w:lvl>
  </w:abstractNum>
  <w:abstractNum w:abstractNumId="43" w15:restartNumberingAfterBreak="0">
    <w:nsid w:val="7B57796A"/>
    <w:multiLevelType w:val="hybridMultilevel"/>
    <w:tmpl w:val="50CE8284"/>
    <w:lvl w:ilvl="0" w:tplc="A29476FE">
      <w:start w:val="1"/>
      <w:numFmt w:val="bullet"/>
      <w:lvlText w:val="-"/>
      <w:lvlJc w:val="left"/>
      <w:pPr>
        <w:tabs>
          <w:tab w:val="num" w:pos="720"/>
        </w:tabs>
        <w:ind w:left="720" w:hanging="360"/>
      </w:pPr>
      <w:rPr>
        <w:rFonts w:hint="default" w:ascii="Arial" w:hAnsi="Arial"/>
      </w:rPr>
    </w:lvl>
    <w:lvl w:ilvl="1" w:tplc="4B3EE6CC" w:tentative="1">
      <w:start w:val="1"/>
      <w:numFmt w:val="bullet"/>
      <w:lvlText w:val="-"/>
      <w:lvlJc w:val="left"/>
      <w:pPr>
        <w:tabs>
          <w:tab w:val="num" w:pos="1440"/>
        </w:tabs>
        <w:ind w:left="1440" w:hanging="360"/>
      </w:pPr>
      <w:rPr>
        <w:rFonts w:hint="default" w:ascii="Arial" w:hAnsi="Arial"/>
      </w:rPr>
    </w:lvl>
    <w:lvl w:ilvl="2" w:tplc="DEC00D50" w:tentative="1">
      <w:start w:val="1"/>
      <w:numFmt w:val="bullet"/>
      <w:lvlText w:val="-"/>
      <w:lvlJc w:val="left"/>
      <w:pPr>
        <w:tabs>
          <w:tab w:val="num" w:pos="2160"/>
        </w:tabs>
        <w:ind w:left="2160" w:hanging="360"/>
      </w:pPr>
      <w:rPr>
        <w:rFonts w:hint="default" w:ascii="Arial" w:hAnsi="Arial"/>
      </w:rPr>
    </w:lvl>
    <w:lvl w:ilvl="3" w:tplc="1A42D99A" w:tentative="1">
      <w:start w:val="1"/>
      <w:numFmt w:val="bullet"/>
      <w:lvlText w:val="-"/>
      <w:lvlJc w:val="left"/>
      <w:pPr>
        <w:tabs>
          <w:tab w:val="num" w:pos="2880"/>
        </w:tabs>
        <w:ind w:left="2880" w:hanging="360"/>
      </w:pPr>
      <w:rPr>
        <w:rFonts w:hint="default" w:ascii="Arial" w:hAnsi="Arial"/>
      </w:rPr>
    </w:lvl>
    <w:lvl w:ilvl="4" w:tplc="91DABC9C" w:tentative="1">
      <w:start w:val="1"/>
      <w:numFmt w:val="bullet"/>
      <w:lvlText w:val="-"/>
      <w:lvlJc w:val="left"/>
      <w:pPr>
        <w:tabs>
          <w:tab w:val="num" w:pos="3600"/>
        </w:tabs>
        <w:ind w:left="3600" w:hanging="360"/>
      </w:pPr>
      <w:rPr>
        <w:rFonts w:hint="default" w:ascii="Arial" w:hAnsi="Arial"/>
      </w:rPr>
    </w:lvl>
    <w:lvl w:ilvl="5" w:tplc="21B0CC5C" w:tentative="1">
      <w:start w:val="1"/>
      <w:numFmt w:val="bullet"/>
      <w:lvlText w:val="-"/>
      <w:lvlJc w:val="left"/>
      <w:pPr>
        <w:tabs>
          <w:tab w:val="num" w:pos="4320"/>
        </w:tabs>
        <w:ind w:left="4320" w:hanging="360"/>
      </w:pPr>
      <w:rPr>
        <w:rFonts w:hint="default" w:ascii="Arial" w:hAnsi="Arial"/>
      </w:rPr>
    </w:lvl>
    <w:lvl w:ilvl="6" w:tplc="A2645568" w:tentative="1">
      <w:start w:val="1"/>
      <w:numFmt w:val="bullet"/>
      <w:lvlText w:val="-"/>
      <w:lvlJc w:val="left"/>
      <w:pPr>
        <w:tabs>
          <w:tab w:val="num" w:pos="5040"/>
        </w:tabs>
        <w:ind w:left="5040" w:hanging="360"/>
      </w:pPr>
      <w:rPr>
        <w:rFonts w:hint="default" w:ascii="Arial" w:hAnsi="Arial"/>
      </w:rPr>
    </w:lvl>
    <w:lvl w:ilvl="7" w:tplc="E592C038" w:tentative="1">
      <w:start w:val="1"/>
      <w:numFmt w:val="bullet"/>
      <w:lvlText w:val="-"/>
      <w:lvlJc w:val="left"/>
      <w:pPr>
        <w:tabs>
          <w:tab w:val="num" w:pos="5760"/>
        </w:tabs>
        <w:ind w:left="5760" w:hanging="360"/>
      </w:pPr>
      <w:rPr>
        <w:rFonts w:hint="default" w:ascii="Arial" w:hAnsi="Arial"/>
      </w:rPr>
    </w:lvl>
    <w:lvl w:ilvl="8" w:tplc="CACC79D0" w:tentative="1">
      <w:start w:val="1"/>
      <w:numFmt w:val="bullet"/>
      <w:lvlText w:val="-"/>
      <w:lvlJc w:val="left"/>
      <w:pPr>
        <w:tabs>
          <w:tab w:val="num" w:pos="6480"/>
        </w:tabs>
        <w:ind w:left="6480" w:hanging="360"/>
      </w:pPr>
      <w:rPr>
        <w:rFonts w:hint="default" w:ascii="Arial" w:hAnsi="Arial"/>
      </w:rPr>
    </w:lvl>
  </w:abstractNum>
  <w:abstractNum w:abstractNumId="44" w15:restartNumberingAfterBreak="0">
    <w:nsid w:val="7D0627F6"/>
    <w:multiLevelType w:val="hybridMultilevel"/>
    <w:tmpl w:val="9A66C3F4"/>
    <w:lvl w:ilvl="0" w:tplc="FDF680CC">
      <w:start w:val="1"/>
      <w:numFmt w:val="bullet"/>
      <w:lvlText w:val="-"/>
      <w:lvlJc w:val="left"/>
      <w:pPr>
        <w:tabs>
          <w:tab w:val="num" w:pos="634"/>
        </w:tabs>
        <w:ind w:left="634" w:hanging="360"/>
      </w:pPr>
      <w:rPr>
        <w:rFonts w:hint="default" w:ascii="Arial" w:hAnsi="Arial"/>
      </w:rPr>
    </w:lvl>
    <w:lvl w:ilvl="1" w:tplc="83DE83E0" w:tentative="1">
      <w:start w:val="1"/>
      <w:numFmt w:val="bullet"/>
      <w:lvlText w:val="-"/>
      <w:lvlJc w:val="left"/>
      <w:pPr>
        <w:tabs>
          <w:tab w:val="num" w:pos="1354"/>
        </w:tabs>
        <w:ind w:left="1354" w:hanging="360"/>
      </w:pPr>
      <w:rPr>
        <w:rFonts w:hint="default" w:ascii="Arial" w:hAnsi="Arial"/>
      </w:rPr>
    </w:lvl>
    <w:lvl w:ilvl="2" w:tplc="C5AC068C" w:tentative="1">
      <w:start w:val="1"/>
      <w:numFmt w:val="bullet"/>
      <w:lvlText w:val="-"/>
      <w:lvlJc w:val="left"/>
      <w:pPr>
        <w:tabs>
          <w:tab w:val="num" w:pos="2074"/>
        </w:tabs>
        <w:ind w:left="2074" w:hanging="360"/>
      </w:pPr>
      <w:rPr>
        <w:rFonts w:hint="default" w:ascii="Arial" w:hAnsi="Arial"/>
      </w:rPr>
    </w:lvl>
    <w:lvl w:ilvl="3" w:tplc="A9580300" w:tentative="1">
      <w:start w:val="1"/>
      <w:numFmt w:val="bullet"/>
      <w:lvlText w:val="-"/>
      <w:lvlJc w:val="left"/>
      <w:pPr>
        <w:tabs>
          <w:tab w:val="num" w:pos="2794"/>
        </w:tabs>
        <w:ind w:left="2794" w:hanging="360"/>
      </w:pPr>
      <w:rPr>
        <w:rFonts w:hint="default" w:ascii="Arial" w:hAnsi="Arial"/>
      </w:rPr>
    </w:lvl>
    <w:lvl w:ilvl="4" w:tplc="7F36D470" w:tentative="1">
      <w:start w:val="1"/>
      <w:numFmt w:val="bullet"/>
      <w:lvlText w:val="-"/>
      <w:lvlJc w:val="left"/>
      <w:pPr>
        <w:tabs>
          <w:tab w:val="num" w:pos="3514"/>
        </w:tabs>
        <w:ind w:left="3514" w:hanging="360"/>
      </w:pPr>
      <w:rPr>
        <w:rFonts w:hint="default" w:ascii="Arial" w:hAnsi="Arial"/>
      </w:rPr>
    </w:lvl>
    <w:lvl w:ilvl="5" w:tplc="8604D20A" w:tentative="1">
      <w:start w:val="1"/>
      <w:numFmt w:val="bullet"/>
      <w:lvlText w:val="-"/>
      <w:lvlJc w:val="left"/>
      <w:pPr>
        <w:tabs>
          <w:tab w:val="num" w:pos="4234"/>
        </w:tabs>
        <w:ind w:left="4234" w:hanging="360"/>
      </w:pPr>
      <w:rPr>
        <w:rFonts w:hint="default" w:ascii="Arial" w:hAnsi="Arial"/>
      </w:rPr>
    </w:lvl>
    <w:lvl w:ilvl="6" w:tplc="7FC400C0" w:tentative="1">
      <w:start w:val="1"/>
      <w:numFmt w:val="bullet"/>
      <w:lvlText w:val="-"/>
      <w:lvlJc w:val="left"/>
      <w:pPr>
        <w:tabs>
          <w:tab w:val="num" w:pos="4954"/>
        </w:tabs>
        <w:ind w:left="4954" w:hanging="360"/>
      </w:pPr>
      <w:rPr>
        <w:rFonts w:hint="default" w:ascii="Arial" w:hAnsi="Arial"/>
      </w:rPr>
    </w:lvl>
    <w:lvl w:ilvl="7" w:tplc="2B907D5C" w:tentative="1">
      <w:start w:val="1"/>
      <w:numFmt w:val="bullet"/>
      <w:lvlText w:val="-"/>
      <w:lvlJc w:val="left"/>
      <w:pPr>
        <w:tabs>
          <w:tab w:val="num" w:pos="5674"/>
        </w:tabs>
        <w:ind w:left="5674" w:hanging="360"/>
      </w:pPr>
      <w:rPr>
        <w:rFonts w:hint="default" w:ascii="Arial" w:hAnsi="Arial"/>
      </w:rPr>
    </w:lvl>
    <w:lvl w:ilvl="8" w:tplc="8FB46B1A" w:tentative="1">
      <w:start w:val="1"/>
      <w:numFmt w:val="bullet"/>
      <w:lvlText w:val="-"/>
      <w:lvlJc w:val="left"/>
      <w:pPr>
        <w:tabs>
          <w:tab w:val="num" w:pos="6394"/>
        </w:tabs>
        <w:ind w:left="6394" w:hanging="360"/>
      </w:pPr>
      <w:rPr>
        <w:rFonts w:hint="default" w:ascii="Arial" w:hAnsi="Arial"/>
      </w:rPr>
    </w:lvl>
  </w:abstractNum>
  <w:abstractNum w:abstractNumId="45" w15:restartNumberingAfterBreak="0">
    <w:nsid w:val="7F9841AF"/>
    <w:multiLevelType w:val="hybridMultilevel"/>
    <w:tmpl w:val="51409BC2"/>
    <w:lvl w:ilvl="0" w:tplc="DD326D6E">
      <w:start w:val="1"/>
      <w:numFmt w:val="bullet"/>
      <w:lvlText w:val="-"/>
      <w:lvlJc w:val="left"/>
      <w:pPr>
        <w:tabs>
          <w:tab w:val="num" w:pos="720"/>
        </w:tabs>
        <w:ind w:left="720" w:hanging="360"/>
      </w:pPr>
      <w:rPr>
        <w:rFonts w:hint="default" w:ascii="Arial" w:hAnsi="Arial"/>
      </w:rPr>
    </w:lvl>
    <w:lvl w:ilvl="1" w:tplc="976C729C" w:tentative="1">
      <w:start w:val="1"/>
      <w:numFmt w:val="bullet"/>
      <w:lvlText w:val="-"/>
      <w:lvlJc w:val="left"/>
      <w:pPr>
        <w:tabs>
          <w:tab w:val="num" w:pos="1440"/>
        </w:tabs>
        <w:ind w:left="1440" w:hanging="360"/>
      </w:pPr>
      <w:rPr>
        <w:rFonts w:hint="default" w:ascii="Arial" w:hAnsi="Arial"/>
      </w:rPr>
    </w:lvl>
    <w:lvl w:ilvl="2" w:tplc="2F16B504" w:tentative="1">
      <w:start w:val="1"/>
      <w:numFmt w:val="bullet"/>
      <w:lvlText w:val="-"/>
      <w:lvlJc w:val="left"/>
      <w:pPr>
        <w:tabs>
          <w:tab w:val="num" w:pos="2160"/>
        </w:tabs>
        <w:ind w:left="2160" w:hanging="360"/>
      </w:pPr>
      <w:rPr>
        <w:rFonts w:hint="default" w:ascii="Arial" w:hAnsi="Arial"/>
      </w:rPr>
    </w:lvl>
    <w:lvl w:ilvl="3" w:tplc="D902A004" w:tentative="1">
      <w:start w:val="1"/>
      <w:numFmt w:val="bullet"/>
      <w:lvlText w:val="-"/>
      <w:lvlJc w:val="left"/>
      <w:pPr>
        <w:tabs>
          <w:tab w:val="num" w:pos="2880"/>
        </w:tabs>
        <w:ind w:left="2880" w:hanging="360"/>
      </w:pPr>
      <w:rPr>
        <w:rFonts w:hint="default" w:ascii="Arial" w:hAnsi="Arial"/>
      </w:rPr>
    </w:lvl>
    <w:lvl w:ilvl="4" w:tplc="6AF0EA0E" w:tentative="1">
      <w:start w:val="1"/>
      <w:numFmt w:val="bullet"/>
      <w:lvlText w:val="-"/>
      <w:lvlJc w:val="left"/>
      <w:pPr>
        <w:tabs>
          <w:tab w:val="num" w:pos="3600"/>
        </w:tabs>
        <w:ind w:left="3600" w:hanging="360"/>
      </w:pPr>
      <w:rPr>
        <w:rFonts w:hint="default" w:ascii="Arial" w:hAnsi="Arial"/>
      </w:rPr>
    </w:lvl>
    <w:lvl w:ilvl="5" w:tplc="CF84A0FE" w:tentative="1">
      <w:start w:val="1"/>
      <w:numFmt w:val="bullet"/>
      <w:lvlText w:val="-"/>
      <w:lvlJc w:val="left"/>
      <w:pPr>
        <w:tabs>
          <w:tab w:val="num" w:pos="4320"/>
        </w:tabs>
        <w:ind w:left="4320" w:hanging="360"/>
      </w:pPr>
      <w:rPr>
        <w:rFonts w:hint="default" w:ascii="Arial" w:hAnsi="Arial"/>
      </w:rPr>
    </w:lvl>
    <w:lvl w:ilvl="6" w:tplc="D9809696" w:tentative="1">
      <w:start w:val="1"/>
      <w:numFmt w:val="bullet"/>
      <w:lvlText w:val="-"/>
      <w:lvlJc w:val="left"/>
      <w:pPr>
        <w:tabs>
          <w:tab w:val="num" w:pos="5040"/>
        </w:tabs>
        <w:ind w:left="5040" w:hanging="360"/>
      </w:pPr>
      <w:rPr>
        <w:rFonts w:hint="default" w:ascii="Arial" w:hAnsi="Arial"/>
      </w:rPr>
    </w:lvl>
    <w:lvl w:ilvl="7" w:tplc="8536E154" w:tentative="1">
      <w:start w:val="1"/>
      <w:numFmt w:val="bullet"/>
      <w:lvlText w:val="-"/>
      <w:lvlJc w:val="left"/>
      <w:pPr>
        <w:tabs>
          <w:tab w:val="num" w:pos="5760"/>
        </w:tabs>
        <w:ind w:left="5760" w:hanging="360"/>
      </w:pPr>
      <w:rPr>
        <w:rFonts w:hint="default" w:ascii="Arial" w:hAnsi="Arial"/>
      </w:rPr>
    </w:lvl>
    <w:lvl w:ilvl="8" w:tplc="FD041CBA" w:tentative="1">
      <w:start w:val="1"/>
      <w:numFmt w:val="bullet"/>
      <w:lvlText w:val="-"/>
      <w:lvlJc w:val="left"/>
      <w:pPr>
        <w:tabs>
          <w:tab w:val="num" w:pos="6480"/>
        </w:tabs>
        <w:ind w:left="6480" w:hanging="360"/>
      </w:pPr>
      <w:rPr>
        <w:rFonts w:hint="default" w:ascii="Arial" w:hAnsi="Arial"/>
      </w:rPr>
    </w:lvl>
  </w:abstractNum>
  <w:num w:numId="1" w16cid:durableId="1868986328">
    <w:abstractNumId w:val="17"/>
  </w:num>
  <w:num w:numId="2" w16cid:durableId="1302465191">
    <w:abstractNumId w:val="18"/>
  </w:num>
  <w:num w:numId="3" w16cid:durableId="480200167">
    <w:abstractNumId w:val="11"/>
  </w:num>
  <w:num w:numId="4" w16cid:durableId="1875654613">
    <w:abstractNumId w:val="26"/>
  </w:num>
  <w:num w:numId="5" w16cid:durableId="1483350172">
    <w:abstractNumId w:val="10"/>
  </w:num>
  <w:num w:numId="6" w16cid:durableId="1456364623">
    <w:abstractNumId w:val="31"/>
  </w:num>
  <w:num w:numId="7" w16cid:durableId="1371537740">
    <w:abstractNumId w:val="28"/>
  </w:num>
  <w:num w:numId="8" w16cid:durableId="13131032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2337664">
    <w:abstractNumId w:val="6"/>
  </w:num>
  <w:num w:numId="10" w16cid:durableId="1163617758">
    <w:abstractNumId w:val="2"/>
  </w:num>
  <w:num w:numId="11" w16cid:durableId="690642435">
    <w:abstractNumId w:val="44"/>
  </w:num>
  <w:num w:numId="12" w16cid:durableId="347954443">
    <w:abstractNumId w:val="29"/>
  </w:num>
  <w:num w:numId="13" w16cid:durableId="1518545472">
    <w:abstractNumId w:val="15"/>
  </w:num>
  <w:num w:numId="14" w16cid:durableId="1116144296">
    <w:abstractNumId w:val="21"/>
  </w:num>
  <w:num w:numId="15" w16cid:durableId="1003972066">
    <w:abstractNumId w:val="40"/>
  </w:num>
  <w:num w:numId="16" w16cid:durableId="1009909795">
    <w:abstractNumId w:val="32"/>
  </w:num>
  <w:num w:numId="17" w16cid:durableId="1621033560">
    <w:abstractNumId w:val="14"/>
  </w:num>
  <w:num w:numId="18" w16cid:durableId="19401066">
    <w:abstractNumId w:val="7"/>
  </w:num>
  <w:num w:numId="19" w16cid:durableId="1630551543">
    <w:abstractNumId w:val="4"/>
  </w:num>
  <w:num w:numId="20" w16cid:durableId="1240283780">
    <w:abstractNumId w:val="37"/>
  </w:num>
  <w:num w:numId="21" w16cid:durableId="1516916267">
    <w:abstractNumId w:val="19"/>
  </w:num>
  <w:num w:numId="22" w16cid:durableId="1408989534">
    <w:abstractNumId w:val="33"/>
  </w:num>
  <w:num w:numId="23" w16cid:durableId="1151214692">
    <w:abstractNumId w:val="45"/>
  </w:num>
  <w:num w:numId="24" w16cid:durableId="170686432">
    <w:abstractNumId w:val="22"/>
  </w:num>
  <w:num w:numId="25" w16cid:durableId="1734890693">
    <w:abstractNumId w:val="8"/>
  </w:num>
  <w:num w:numId="26" w16cid:durableId="699814728">
    <w:abstractNumId w:val="42"/>
  </w:num>
  <w:num w:numId="27" w16cid:durableId="15933274">
    <w:abstractNumId w:val="5"/>
  </w:num>
  <w:num w:numId="28" w16cid:durableId="2142726731">
    <w:abstractNumId w:val="1"/>
  </w:num>
  <w:num w:numId="29" w16cid:durableId="1085145757">
    <w:abstractNumId w:val="0"/>
  </w:num>
  <w:num w:numId="30" w16cid:durableId="1414621368">
    <w:abstractNumId w:val="39"/>
  </w:num>
  <w:num w:numId="31" w16cid:durableId="1472661">
    <w:abstractNumId w:val="9"/>
  </w:num>
  <w:num w:numId="32" w16cid:durableId="759178537">
    <w:abstractNumId w:val="36"/>
  </w:num>
  <w:num w:numId="33" w16cid:durableId="1839231506">
    <w:abstractNumId w:val="35"/>
  </w:num>
  <w:num w:numId="34" w16cid:durableId="1552956472">
    <w:abstractNumId w:val="43"/>
  </w:num>
  <w:num w:numId="35" w16cid:durableId="2013755497">
    <w:abstractNumId w:val="13"/>
  </w:num>
  <w:num w:numId="36" w16cid:durableId="621889906">
    <w:abstractNumId w:val="23"/>
  </w:num>
  <w:num w:numId="37" w16cid:durableId="52853730">
    <w:abstractNumId w:val="30"/>
  </w:num>
  <w:num w:numId="38" w16cid:durableId="1249729302">
    <w:abstractNumId w:val="3"/>
  </w:num>
  <w:num w:numId="39" w16cid:durableId="235165598">
    <w:abstractNumId w:val="41"/>
  </w:num>
  <w:num w:numId="40" w16cid:durableId="675424382">
    <w:abstractNumId w:val="16"/>
  </w:num>
  <w:num w:numId="41" w16cid:durableId="1456407159">
    <w:abstractNumId w:val="24"/>
  </w:num>
  <w:num w:numId="42" w16cid:durableId="1164979800">
    <w:abstractNumId w:val="20"/>
  </w:num>
  <w:num w:numId="43" w16cid:durableId="1055855516">
    <w:abstractNumId w:val="27"/>
  </w:num>
  <w:num w:numId="44" w16cid:durableId="1711879844">
    <w:abstractNumId w:val="17"/>
  </w:num>
  <w:num w:numId="45" w16cid:durableId="1381588226">
    <w:abstractNumId w:val="17"/>
  </w:num>
  <w:num w:numId="46" w16cid:durableId="1422216757">
    <w:abstractNumId w:val="31"/>
  </w:num>
  <w:num w:numId="47" w16cid:durableId="1559127579">
    <w:abstractNumId w:val="38"/>
  </w:num>
  <w:num w:numId="48" w16cid:durableId="1850169000">
    <w:abstractNumId w:val="12"/>
  </w:num>
  <w:num w:numId="49" w16cid:durableId="411319257">
    <w:abstractNumId w:val="25"/>
  </w:num>
  <w:num w:numId="50" w16cid:durableId="1767118072">
    <w:abstractNumId w:val="34"/>
  </w:num>
  <w:numIdMacAtCleanup w:val="2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ttachedTemplate r:id="rId1"/>
  <w:stylePaneSortMethod w:val="0000"/>
  <w:trackRevisions w:val="false"/>
  <w:defaultTabStop w:val="720"/>
  <w:evenAndOddHeaders/>
  <w:characterSpacingControl w:val="doNotCompress"/>
  <w:hdrShapeDefaults>
    <o:shapedefaults v:ext="edit" spidmax="2050"/>
  </w:hdrShapeDefaults>
  <w:footnotePr>
    <w:footnote w:id="-1"/>
    <w:footnote w:id="0"/>
    <w:footnote w:id="1"/>
  </w:footnotePr>
  <w:endnotePr>
    <w:pos w:val="sectEnd"/>
    <w:numFmt w:val="decimal"/>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ECDDocumentId" w:val="D7721B28B067AFD6C34C729FCA205DA41E801B6CC06EAA0D1B4574CF591CCEA0"/>
    <w:docVar w:name="OECDKappaEnrichment" w:val="Online"/>
    <w:docVar w:name="OECDTemplateLocation" w:val="W:\Office2016\Workgroup Templates"/>
    <w:docVar w:name="OECDTemplateName" w:val="ONE Author ODPub.dotx"/>
    <w:docVar w:name="OECDTemplateVersion" w:val="3.25"/>
    <w:docVar w:name="OECDTemplateVersionOriginal" w:val="3.25"/>
  </w:docVars>
  <w:rsids>
    <w:rsidRoot w:val="001E0EA5"/>
    <w:rsid w:val="00000817"/>
    <w:rsid w:val="00000F3E"/>
    <w:rsid w:val="00001AFC"/>
    <w:rsid w:val="00001BAA"/>
    <w:rsid w:val="00001BE7"/>
    <w:rsid w:val="000024FF"/>
    <w:rsid w:val="000035C9"/>
    <w:rsid w:val="000037D9"/>
    <w:rsid w:val="00003AC2"/>
    <w:rsid w:val="00004388"/>
    <w:rsid w:val="000047B2"/>
    <w:rsid w:val="00004DAB"/>
    <w:rsid w:val="00005042"/>
    <w:rsid w:val="00005B28"/>
    <w:rsid w:val="00006176"/>
    <w:rsid w:val="000064D6"/>
    <w:rsid w:val="00006595"/>
    <w:rsid w:val="00006AFB"/>
    <w:rsid w:val="00006D34"/>
    <w:rsid w:val="00006E07"/>
    <w:rsid w:val="00006ED4"/>
    <w:rsid w:val="00006EEA"/>
    <w:rsid w:val="000077C1"/>
    <w:rsid w:val="00007815"/>
    <w:rsid w:val="00010295"/>
    <w:rsid w:val="00010A6E"/>
    <w:rsid w:val="00010C53"/>
    <w:rsid w:val="00010CA0"/>
    <w:rsid w:val="000111D4"/>
    <w:rsid w:val="000111DB"/>
    <w:rsid w:val="000112A7"/>
    <w:rsid w:val="000112B2"/>
    <w:rsid w:val="00011BA2"/>
    <w:rsid w:val="00011D5E"/>
    <w:rsid w:val="00011DE4"/>
    <w:rsid w:val="000121E8"/>
    <w:rsid w:val="00012E6C"/>
    <w:rsid w:val="000130C8"/>
    <w:rsid w:val="000134A1"/>
    <w:rsid w:val="000137DC"/>
    <w:rsid w:val="00013CC2"/>
    <w:rsid w:val="00013D7E"/>
    <w:rsid w:val="00014404"/>
    <w:rsid w:val="00014DD6"/>
    <w:rsid w:val="00014F53"/>
    <w:rsid w:val="00015679"/>
    <w:rsid w:val="000159B7"/>
    <w:rsid w:val="00015E8A"/>
    <w:rsid w:val="00015EED"/>
    <w:rsid w:val="00016A52"/>
    <w:rsid w:val="00017230"/>
    <w:rsid w:val="00017570"/>
    <w:rsid w:val="00017F34"/>
    <w:rsid w:val="000201C2"/>
    <w:rsid w:val="00020C69"/>
    <w:rsid w:val="00021088"/>
    <w:rsid w:val="000212E7"/>
    <w:rsid w:val="0002153A"/>
    <w:rsid w:val="00021879"/>
    <w:rsid w:val="00021A77"/>
    <w:rsid w:val="0002207D"/>
    <w:rsid w:val="000221F6"/>
    <w:rsid w:val="00022204"/>
    <w:rsid w:val="00022470"/>
    <w:rsid w:val="00023952"/>
    <w:rsid w:val="00024178"/>
    <w:rsid w:val="00024AEF"/>
    <w:rsid w:val="00024FFE"/>
    <w:rsid w:val="000263A5"/>
    <w:rsid w:val="000263B6"/>
    <w:rsid w:val="000265FD"/>
    <w:rsid w:val="00026D4A"/>
    <w:rsid w:val="00027392"/>
    <w:rsid w:val="00027404"/>
    <w:rsid w:val="000277B3"/>
    <w:rsid w:val="00027D14"/>
    <w:rsid w:val="00027E1E"/>
    <w:rsid w:val="00027FE3"/>
    <w:rsid w:val="00030E8C"/>
    <w:rsid w:val="000313F2"/>
    <w:rsid w:val="00031E06"/>
    <w:rsid w:val="000325A8"/>
    <w:rsid w:val="000326DB"/>
    <w:rsid w:val="00032986"/>
    <w:rsid w:val="00033127"/>
    <w:rsid w:val="000333C5"/>
    <w:rsid w:val="0003342D"/>
    <w:rsid w:val="000334D7"/>
    <w:rsid w:val="00033525"/>
    <w:rsid w:val="000338B2"/>
    <w:rsid w:val="00033B20"/>
    <w:rsid w:val="00033E50"/>
    <w:rsid w:val="00034023"/>
    <w:rsid w:val="000345BA"/>
    <w:rsid w:val="00034A80"/>
    <w:rsid w:val="00034D9B"/>
    <w:rsid w:val="00035121"/>
    <w:rsid w:val="0003537C"/>
    <w:rsid w:val="000357A8"/>
    <w:rsid w:val="000359F6"/>
    <w:rsid w:val="000378EB"/>
    <w:rsid w:val="00040116"/>
    <w:rsid w:val="000403E6"/>
    <w:rsid w:val="000408D0"/>
    <w:rsid w:val="00041B96"/>
    <w:rsid w:val="00041F94"/>
    <w:rsid w:val="00042465"/>
    <w:rsid w:val="00042868"/>
    <w:rsid w:val="00042C9B"/>
    <w:rsid w:val="00042F9D"/>
    <w:rsid w:val="000431DB"/>
    <w:rsid w:val="000433FC"/>
    <w:rsid w:val="00043411"/>
    <w:rsid w:val="000435F9"/>
    <w:rsid w:val="00043C43"/>
    <w:rsid w:val="0004402D"/>
    <w:rsid w:val="00044517"/>
    <w:rsid w:val="000445F5"/>
    <w:rsid w:val="0004467A"/>
    <w:rsid w:val="000448F3"/>
    <w:rsid w:val="0004495E"/>
    <w:rsid w:val="00044AA8"/>
    <w:rsid w:val="000454E8"/>
    <w:rsid w:val="00045758"/>
    <w:rsid w:val="000458EA"/>
    <w:rsid w:val="00045CB2"/>
    <w:rsid w:val="00046814"/>
    <w:rsid w:val="000473F2"/>
    <w:rsid w:val="000474AC"/>
    <w:rsid w:val="00047E57"/>
    <w:rsid w:val="00050E3E"/>
    <w:rsid w:val="00050F5E"/>
    <w:rsid w:val="0005102C"/>
    <w:rsid w:val="00051078"/>
    <w:rsid w:val="000510DF"/>
    <w:rsid w:val="00051663"/>
    <w:rsid w:val="000519B2"/>
    <w:rsid w:val="00051BA7"/>
    <w:rsid w:val="0005244C"/>
    <w:rsid w:val="00052575"/>
    <w:rsid w:val="00052588"/>
    <w:rsid w:val="000528C9"/>
    <w:rsid w:val="00052AC0"/>
    <w:rsid w:val="000533C2"/>
    <w:rsid w:val="00053B0C"/>
    <w:rsid w:val="00053D10"/>
    <w:rsid w:val="000542B8"/>
    <w:rsid w:val="00054C76"/>
    <w:rsid w:val="00054D95"/>
    <w:rsid w:val="00055124"/>
    <w:rsid w:val="00055536"/>
    <w:rsid w:val="00055875"/>
    <w:rsid w:val="000558E4"/>
    <w:rsid w:val="00055B4B"/>
    <w:rsid w:val="00055BDD"/>
    <w:rsid w:val="000562F6"/>
    <w:rsid w:val="00056B0B"/>
    <w:rsid w:val="00056BAB"/>
    <w:rsid w:val="00056BE1"/>
    <w:rsid w:val="000579C3"/>
    <w:rsid w:val="00057A1A"/>
    <w:rsid w:val="00060765"/>
    <w:rsid w:val="0006093C"/>
    <w:rsid w:val="00060ABE"/>
    <w:rsid w:val="00060B13"/>
    <w:rsid w:val="00060E7C"/>
    <w:rsid w:val="00061124"/>
    <w:rsid w:val="000615B6"/>
    <w:rsid w:val="0006211D"/>
    <w:rsid w:val="0006227E"/>
    <w:rsid w:val="0006299F"/>
    <w:rsid w:val="00062C18"/>
    <w:rsid w:val="000633A3"/>
    <w:rsid w:val="00063773"/>
    <w:rsid w:val="00063963"/>
    <w:rsid w:val="00063D8F"/>
    <w:rsid w:val="0006436D"/>
    <w:rsid w:val="000643F8"/>
    <w:rsid w:val="00064BE2"/>
    <w:rsid w:val="00064C7A"/>
    <w:rsid w:val="00065314"/>
    <w:rsid w:val="000658A1"/>
    <w:rsid w:val="00065C04"/>
    <w:rsid w:val="00065D99"/>
    <w:rsid w:val="00066668"/>
    <w:rsid w:val="00066689"/>
    <w:rsid w:val="000667AA"/>
    <w:rsid w:val="0006680A"/>
    <w:rsid w:val="000669AF"/>
    <w:rsid w:val="00066B79"/>
    <w:rsid w:val="0006756A"/>
    <w:rsid w:val="00067993"/>
    <w:rsid w:val="00067BC8"/>
    <w:rsid w:val="00070409"/>
    <w:rsid w:val="00070730"/>
    <w:rsid w:val="000707E2"/>
    <w:rsid w:val="00072C58"/>
    <w:rsid w:val="00072E38"/>
    <w:rsid w:val="0007359B"/>
    <w:rsid w:val="00073E66"/>
    <w:rsid w:val="00074549"/>
    <w:rsid w:val="0007462E"/>
    <w:rsid w:val="00074723"/>
    <w:rsid w:val="000748B5"/>
    <w:rsid w:val="00074AFB"/>
    <w:rsid w:val="00074C71"/>
    <w:rsid w:val="00074D72"/>
    <w:rsid w:val="00075058"/>
    <w:rsid w:val="000752FE"/>
    <w:rsid w:val="00075973"/>
    <w:rsid w:val="00075D18"/>
    <w:rsid w:val="00075DD4"/>
    <w:rsid w:val="000763D8"/>
    <w:rsid w:val="00076B04"/>
    <w:rsid w:val="0007730B"/>
    <w:rsid w:val="00077409"/>
    <w:rsid w:val="0007759B"/>
    <w:rsid w:val="00077BF5"/>
    <w:rsid w:val="0008073A"/>
    <w:rsid w:val="00080F49"/>
    <w:rsid w:val="00081643"/>
    <w:rsid w:val="000816DF"/>
    <w:rsid w:val="0008214E"/>
    <w:rsid w:val="000821DD"/>
    <w:rsid w:val="0008220D"/>
    <w:rsid w:val="00082602"/>
    <w:rsid w:val="00082A9C"/>
    <w:rsid w:val="000837A4"/>
    <w:rsid w:val="00083A60"/>
    <w:rsid w:val="00084024"/>
    <w:rsid w:val="00084041"/>
    <w:rsid w:val="000840B6"/>
    <w:rsid w:val="0008434A"/>
    <w:rsid w:val="000843C6"/>
    <w:rsid w:val="000844C6"/>
    <w:rsid w:val="000847F8"/>
    <w:rsid w:val="00084817"/>
    <w:rsid w:val="00084EB8"/>
    <w:rsid w:val="00085019"/>
    <w:rsid w:val="00085197"/>
    <w:rsid w:val="000857EC"/>
    <w:rsid w:val="00085936"/>
    <w:rsid w:val="00085AD6"/>
    <w:rsid w:val="00085C02"/>
    <w:rsid w:val="00086072"/>
    <w:rsid w:val="000862CE"/>
    <w:rsid w:val="000863B8"/>
    <w:rsid w:val="00086B7C"/>
    <w:rsid w:val="000872A3"/>
    <w:rsid w:val="0008731F"/>
    <w:rsid w:val="00087341"/>
    <w:rsid w:val="000874CD"/>
    <w:rsid w:val="0008770B"/>
    <w:rsid w:val="00087A3D"/>
    <w:rsid w:val="00087FEE"/>
    <w:rsid w:val="00090974"/>
    <w:rsid w:val="00090BFC"/>
    <w:rsid w:val="0009143B"/>
    <w:rsid w:val="00091954"/>
    <w:rsid w:val="0009225C"/>
    <w:rsid w:val="00092B6A"/>
    <w:rsid w:val="00092E78"/>
    <w:rsid w:val="000930AA"/>
    <w:rsid w:val="0009352C"/>
    <w:rsid w:val="00093566"/>
    <w:rsid w:val="000940AD"/>
    <w:rsid w:val="00094145"/>
    <w:rsid w:val="000942DA"/>
    <w:rsid w:val="000943CB"/>
    <w:rsid w:val="0009473A"/>
    <w:rsid w:val="00094A35"/>
    <w:rsid w:val="00094BB6"/>
    <w:rsid w:val="0009514D"/>
    <w:rsid w:val="000952D2"/>
    <w:rsid w:val="00095769"/>
    <w:rsid w:val="00095D9A"/>
    <w:rsid w:val="000966A9"/>
    <w:rsid w:val="000972BE"/>
    <w:rsid w:val="0009734D"/>
    <w:rsid w:val="00097414"/>
    <w:rsid w:val="00097749"/>
    <w:rsid w:val="0009781B"/>
    <w:rsid w:val="0009787D"/>
    <w:rsid w:val="000A033B"/>
    <w:rsid w:val="000A07A7"/>
    <w:rsid w:val="000A0851"/>
    <w:rsid w:val="000A0F48"/>
    <w:rsid w:val="000A121D"/>
    <w:rsid w:val="000A1589"/>
    <w:rsid w:val="000A15EE"/>
    <w:rsid w:val="000A1BE5"/>
    <w:rsid w:val="000A1F40"/>
    <w:rsid w:val="000A223E"/>
    <w:rsid w:val="000A23DA"/>
    <w:rsid w:val="000A2C02"/>
    <w:rsid w:val="000A2D2F"/>
    <w:rsid w:val="000A2FEF"/>
    <w:rsid w:val="000A31A4"/>
    <w:rsid w:val="000A3251"/>
    <w:rsid w:val="000A3566"/>
    <w:rsid w:val="000A3B6C"/>
    <w:rsid w:val="000A3FB1"/>
    <w:rsid w:val="000A4178"/>
    <w:rsid w:val="000A44C9"/>
    <w:rsid w:val="000A5133"/>
    <w:rsid w:val="000A5AC4"/>
    <w:rsid w:val="000A5B4B"/>
    <w:rsid w:val="000A5C6E"/>
    <w:rsid w:val="000A5DC8"/>
    <w:rsid w:val="000A655C"/>
    <w:rsid w:val="000A69AD"/>
    <w:rsid w:val="000A6B0C"/>
    <w:rsid w:val="000A6D7A"/>
    <w:rsid w:val="000A7545"/>
    <w:rsid w:val="000A7723"/>
    <w:rsid w:val="000A78F9"/>
    <w:rsid w:val="000A7F90"/>
    <w:rsid w:val="000B00C5"/>
    <w:rsid w:val="000B020D"/>
    <w:rsid w:val="000B03E2"/>
    <w:rsid w:val="000B0B08"/>
    <w:rsid w:val="000B1225"/>
    <w:rsid w:val="000B13EF"/>
    <w:rsid w:val="000B1BB4"/>
    <w:rsid w:val="000B23D2"/>
    <w:rsid w:val="000B2740"/>
    <w:rsid w:val="000B2AB9"/>
    <w:rsid w:val="000B3874"/>
    <w:rsid w:val="000B3F39"/>
    <w:rsid w:val="000B40E9"/>
    <w:rsid w:val="000B4194"/>
    <w:rsid w:val="000B44F4"/>
    <w:rsid w:val="000B45A5"/>
    <w:rsid w:val="000B463C"/>
    <w:rsid w:val="000B4A8D"/>
    <w:rsid w:val="000B4B99"/>
    <w:rsid w:val="000B516D"/>
    <w:rsid w:val="000B5A2B"/>
    <w:rsid w:val="000B648C"/>
    <w:rsid w:val="000B669B"/>
    <w:rsid w:val="000B6A10"/>
    <w:rsid w:val="000B6ED1"/>
    <w:rsid w:val="000B71EE"/>
    <w:rsid w:val="000B74AE"/>
    <w:rsid w:val="000B7665"/>
    <w:rsid w:val="000B7B86"/>
    <w:rsid w:val="000C0609"/>
    <w:rsid w:val="000C083D"/>
    <w:rsid w:val="000C0CA8"/>
    <w:rsid w:val="000C0FE0"/>
    <w:rsid w:val="000C1532"/>
    <w:rsid w:val="000C1DF4"/>
    <w:rsid w:val="000C230E"/>
    <w:rsid w:val="000C2D32"/>
    <w:rsid w:val="000C31F0"/>
    <w:rsid w:val="000C3388"/>
    <w:rsid w:val="000C340D"/>
    <w:rsid w:val="000C38BD"/>
    <w:rsid w:val="000C390D"/>
    <w:rsid w:val="000C3C87"/>
    <w:rsid w:val="000C3E75"/>
    <w:rsid w:val="000C4358"/>
    <w:rsid w:val="000C4D8E"/>
    <w:rsid w:val="000C5012"/>
    <w:rsid w:val="000C5A12"/>
    <w:rsid w:val="000C626A"/>
    <w:rsid w:val="000C7113"/>
    <w:rsid w:val="000C7362"/>
    <w:rsid w:val="000C7982"/>
    <w:rsid w:val="000C7E50"/>
    <w:rsid w:val="000C7FE1"/>
    <w:rsid w:val="000D0311"/>
    <w:rsid w:val="000D055F"/>
    <w:rsid w:val="000D0677"/>
    <w:rsid w:val="000D082B"/>
    <w:rsid w:val="000D0A91"/>
    <w:rsid w:val="000D0F9C"/>
    <w:rsid w:val="000D10D3"/>
    <w:rsid w:val="000D1C67"/>
    <w:rsid w:val="000D1C79"/>
    <w:rsid w:val="000D1FDB"/>
    <w:rsid w:val="000D2412"/>
    <w:rsid w:val="000D2F9F"/>
    <w:rsid w:val="000D3311"/>
    <w:rsid w:val="000D34F9"/>
    <w:rsid w:val="000D4550"/>
    <w:rsid w:val="000D535E"/>
    <w:rsid w:val="000D5849"/>
    <w:rsid w:val="000D5A49"/>
    <w:rsid w:val="000D643C"/>
    <w:rsid w:val="000D65B6"/>
    <w:rsid w:val="000D698F"/>
    <w:rsid w:val="000D7179"/>
    <w:rsid w:val="000D75B7"/>
    <w:rsid w:val="000D7D6F"/>
    <w:rsid w:val="000E0360"/>
    <w:rsid w:val="000E08A2"/>
    <w:rsid w:val="000E0C36"/>
    <w:rsid w:val="000E0DC7"/>
    <w:rsid w:val="000E108B"/>
    <w:rsid w:val="000E1352"/>
    <w:rsid w:val="000E1446"/>
    <w:rsid w:val="000E169A"/>
    <w:rsid w:val="000E1DAC"/>
    <w:rsid w:val="000E1EFE"/>
    <w:rsid w:val="000E27A5"/>
    <w:rsid w:val="000E27FF"/>
    <w:rsid w:val="000E2815"/>
    <w:rsid w:val="000E2AAE"/>
    <w:rsid w:val="000E2EDD"/>
    <w:rsid w:val="000E3474"/>
    <w:rsid w:val="000E3F33"/>
    <w:rsid w:val="000E41C0"/>
    <w:rsid w:val="000E4C6D"/>
    <w:rsid w:val="000E4D55"/>
    <w:rsid w:val="000E51E2"/>
    <w:rsid w:val="000E5256"/>
    <w:rsid w:val="000E5870"/>
    <w:rsid w:val="000E59B0"/>
    <w:rsid w:val="000E5CDD"/>
    <w:rsid w:val="000E5F57"/>
    <w:rsid w:val="000E5F6E"/>
    <w:rsid w:val="000E622F"/>
    <w:rsid w:val="000E6AC2"/>
    <w:rsid w:val="000E6EA9"/>
    <w:rsid w:val="000E6ECE"/>
    <w:rsid w:val="000E6F5D"/>
    <w:rsid w:val="000E72F3"/>
    <w:rsid w:val="000E7569"/>
    <w:rsid w:val="000E7717"/>
    <w:rsid w:val="000F00F0"/>
    <w:rsid w:val="000F040F"/>
    <w:rsid w:val="000F0E33"/>
    <w:rsid w:val="000F1481"/>
    <w:rsid w:val="000F18B3"/>
    <w:rsid w:val="000F195C"/>
    <w:rsid w:val="000F195E"/>
    <w:rsid w:val="000F1B0C"/>
    <w:rsid w:val="000F1C56"/>
    <w:rsid w:val="000F21A2"/>
    <w:rsid w:val="000F2BE2"/>
    <w:rsid w:val="000F3001"/>
    <w:rsid w:val="000F3446"/>
    <w:rsid w:val="000F390C"/>
    <w:rsid w:val="000F3B76"/>
    <w:rsid w:val="000F424F"/>
    <w:rsid w:val="000F44F3"/>
    <w:rsid w:val="000F486F"/>
    <w:rsid w:val="000F55C0"/>
    <w:rsid w:val="000F5878"/>
    <w:rsid w:val="000F5A49"/>
    <w:rsid w:val="000F5FA0"/>
    <w:rsid w:val="000F6214"/>
    <w:rsid w:val="000F647D"/>
    <w:rsid w:val="000F68AF"/>
    <w:rsid w:val="000F6F50"/>
    <w:rsid w:val="000F6F86"/>
    <w:rsid w:val="000F7B5B"/>
    <w:rsid w:val="001001A1"/>
    <w:rsid w:val="001002EA"/>
    <w:rsid w:val="00100CE0"/>
    <w:rsid w:val="00100D02"/>
    <w:rsid w:val="00100EAB"/>
    <w:rsid w:val="00100F4C"/>
    <w:rsid w:val="00101009"/>
    <w:rsid w:val="00101323"/>
    <w:rsid w:val="001014DD"/>
    <w:rsid w:val="0010172E"/>
    <w:rsid w:val="00101D44"/>
    <w:rsid w:val="001025AB"/>
    <w:rsid w:val="00102798"/>
    <w:rsid w:val="001034A6"/>
    <w:rsid w:val="001035E4"/>
    <w:rsid w:val="00103860"/>
    <w:rsid w:val="00103B7D"/>
    <w:rsid w:val="00103E18"/>
    <w:rsid w:val="0010506D"/>
    <w:rsid w:val="00105C02"/>
    <w:rsid w:val="00105D63"/>
    <w:rsid w:val="001064EF"/>
    <w:rsid w:val="001068E2"/>
    <w:rsid w:val="00107518"/>
    <w:rsid w:val="0010762D"/>
    <w:rsid w:val="00107B9F"/>
    <w:rsid w:val="00107D03"/>
    <w:rsid w:val="00110052"/>
    <w:rsid w:val="001104E5"/>
    <w:rsid w:val="001105AE"/>
    <w:rsid w:val="001108BC"/>
    <w:rsid w:val="00110B0C"/>
    <w:rsid w:val="00110CE9"/>
    <w:rsid w:val="00110DD9"/>
    <w:rsid w:val="00111513"/>
    <w:rsid w:val="00111592"/>
    <w:rsid w:val="00111A19"/>
    <w:rsid w:val="00111A26"/>
    <w:rsid w:val="001120CE"/>
    <w:rsid w:val="00112663"/>
    <w:rsid w:val="00113426"/>
    <w:rsid w:val="001143D5"/>
    <w:rsid w:val="001149C8"/>
    <w:rsid w:val="00114C91"/>
    <w:rsid w:val="00114DC6"/>
    <w:rsid w:val="0011583C"/>
    <w:rsid w:val="0011590D"/>
    <w:rsid w:val="0011609D"/>
    <w:rsid w:val="0011643D"/>
    <w:rsid w:val="00116D64"/>
    <w:rsid w:val="0011701E"/>
    <w:rsid w:val="0011780D"/>
    <w:rsid w:val="00117BE6"/>
    <w:rsid w:val="00117F9D"/>
    <w:rsid w:val="00120653"/>
    <w:rsid w:val="00120A7D"/>
    <w:rsid w:val="00121179"/>
    <w:rsid w:val="0012150F"/>
    <w:rsid w:val="00121991"/>
    <w:rsid w:val="00121AB9"/>
    <w:rsid w:val="00121D50"/>
    <w:rsid w:val="0012343C"/>
    <w:rsid w:val="0012360C"/>
    <w:rsid w:val="00123732"/>
    <w:rsid w:val="00123DF1"/>
    <w:rsid w:val="001240AE"/>
    <w:rsid w:val="0012427E"/>
    <w:rsid w:val="001242B1"/>
    <w:rsid w:val="00124417"/>
    <w:rsid w:val="00124915"/>
    <w:rsid w:val="001249A1"/>
    <w:rsid w:val="001253D1"/>
    <w:rsid w:val="00125942"/>
    <w:rsid w:val="001259A8"/>
    <w:rsid w:val="00125CCB"/>
    <w:rsid w:val="00125D09"/>
    <w:rsid w:val="00125D64"/>
    <w:rsid w:val="001268DB"/>
    <w:rsid w:val="00126C22"/>
    <w:rsid w:val="00126CF1"/>
    <w:rsid w:val="00126E36"/>
    <w:rsid w:val="00127457"/>
    <w:rsid w:val="001277A4"/>
    <w:rsid w:val="001278C9"/>
    <w:rsid w:val="0013016C"/>
    <w:rsid w:val="00130268"/>
    <w:rsid w:val="00130835"/>
    <w:rsid w:val="00130B1E"/>
    <w:rsid w:val="00130CBB"/>
    <w:rsid w:val="00130DE3"/>
    <w:rsid w:val="00130F27"/>
    <w:rsid w:val="00131297"/>
    <w:rsid w:val="001313D9"/>
    <w:rsid w:val="00132078"/>
    <w:rsid w:val="00132202"/>
    <w:rsid w:val="00132414"/>
    <w:rsid w:val="00132511"/>
    <w:rsid w:val="0013259D"/>
    <w:rsid w:val="001329F6"/>
    <w:rsid w:val="00132E78"/>
    <w:rsid w:val="00132FE2"/>
    <w:rsid w:val="0013380A"/>
    <w:rsid w:val="00133BBF"/>
    <w:rsid w:val="00133C1A"/>
    <w:rsid w:val="00133F03"/>
    <w:rsid w:val="001347F1"/>
    <w:rsid w:val="00134899"/>
    <w:rsid w:val="00134BB8"/>
    <w:rsid w:val="0013567B"/>
    <w:rsid w:val="0013568E"/>
    <w:rsid w:val="001356DD"/>
    <w:rsid w:val="001357D9"/>
    <w:rsid w:val="00135A63"/>
    <w:rsid w:val="00135C3A"/>
    <w:rsid w:val="00135CCF"/>
    <w:rsid w:val="00135F6C"/>
    <w:rsid w:val="00136055"/>
    <w:rsid w:val="0013638C"/>
    <w:rsid w:val="00136698"/>
    <w:rsid w:val="00136D08"/>
    <w:rsid w:val="001371B9"/>
    <w:rsid w:val="00137210"/>
    <w:rsid w:val="001372D7"/>
    <w:rsid w:val="00137D29"/>
    <w:rsid w:val="00137F77"/>
    <w:rsid w:val="00137F89"/>
    <w:rsid w:val="001400C4"/>
    <w:rsid w:val="001403AC"/>
    <w:rsid w:val="00140483"/>
    <w:rsid w:val="001404DC"/>
    <w:rsid w:val="0014081C"/>
    <w:rsid w:val="00140CBA"/>
    <w:rsid w:val="00140EC0"/>
    <w:rsid w:val="00141105"/>
    <w:rsid w:val="0014177E"/>
    <w:rsid w:val="0014183B"/>
    <w:rsid w:val="00141849"/>
    <w:rsid w:val="00141B14"/>
    <w:rsid w:val="00141DCB"/>
    <w:rsid w:val="001428FC"/>
    <w:rsid w:val="00142FE0"/>
    <w:rsid w:val="00143B9D"/>
    <w:rsid w:val="001441FE"/>
    <w:rsid w:val="001444C2"/>
    <w:rsid w:val="0014483E"/>
    <w:rsid w:val="00144972"/>
    <w:rsid w:val="00144A3F"/>
    <w:rsid w:val="00144ADC"/>
    <w:rsid w:val="00145481"/>
    <w:rsid w:val="00145BB6"/>
    <w:rsid w:val="00146063"/>
    <w:rsid w:val="00146338"/>
    <w:rsid w:val="00146450"/>
    <w:rsid w:val="001466A4"/>
    <w:rsid w:val="00146CBA"/>
    <w:rsid w:val="00146F4F"/>
    <w:rsid w:val="00147301"/>
    <w:rsid w:val="00147401"/>
    <w:rsid w:val="0015065F"/>
    <w:rsid w:val="001506D3"/>
    <w:rsid w:val="00150705"/>
    <w:rsid w:val="00150BDE"/>
    <w:rsid w:val="0015144D"/>
    <w:rsid w:val="00151485"/>
    <w:rsid w:val="00151AE5"/>
    <w:rsid w:val="00151E6C"/>
    <w:rsid w:val="00152AB5"/>
    <w:rsid w:val="00152DBC"/>
    <w:rsid w:val="0015355E"/>
    <w:rsid w:val="00153591"/>
    <w:rsid w:val="001535B9"/>
    <w:rsid w:val="00153A4E"/>
    <w:rsid w:val="00153E44"/>
    <w:rsid w:val="00154291"/>
    <w:rsid w:val="0015449D"/>
    <w:rsid w:val="001546E8"/>
    <w:rsid w:val="00155137"/>
    <w:rsid w:val="001556C7"/>
    <w:rsid w:val="00155BBF"/>
    <w:rsid w:val="00155DF6"/>
    <w:rsid w:val="0015648F"/>
    <w:rsid w:val="00156CE5"/>
    <w:rsid w:val="00157057"/>
    <w:rsid w:val="00157360"/>
    <w:rsid w:val="0015762F"/>
    <w:rsid w:val="00157830"/>
    <w:rsid w:val="001578C2"/>
    <w:rsid w:val="00157A58"/>
    <w:rsid w:val="00157A9F"/>
    <w:rsid w:val="00157D89"/>
    <w:rsid w:val="001607AC"/>
    <w:rsid w:val="001607E7"/>
    <w:rsid w:val="001608D4"/>
    <w:rsid w:val="001609FE"/>
    <w:rsid w:val="00160B10"/>
    <w:rsid w:val="00160D78"/>
    <w:rsid w:val="00160EB5"/>
    <w:rsid w:val="00160F2E"/>
    <w:rsid w:val="001610BF"/>
    <w:rsid w:val="00161163"/>
    <w:rsid w:val="001612DA"/>
    <w:rsid w:val="00161A16"/>
    <w:rsid w:val="00161B09"/>
    <w:rsid w:val="00161BD7"/>
    <w:rsid w:val="00162624"/>
    <w:rsid w:val="001627F0"/>
    <w:rsid w:val="00162934"/>
    <w:rsid w:val="00162969"/>
    <w:rsid w:val="00162E34"/>
    <w:rsid w:val="00162F4F"/>
    <w:rsid w:val="00163646"/>
    <w:rsid w:val="001637F7"/>
    <w:rsid w:val="00164ECD"/>
    <w:rsid w:val="00164F05"/>
    <w:rsid w:val="001656DD"/>
    <w:rsid w:val="00165A74"/>
    <w:rsid w:val="00165C79"/>
    <w:rsid w:val="0016665F"/>
    <w:rsid w:val="0016692E"/>
    <w:rsid w:val="00167193"/>
    <w:rsid w:val="001677EC"/>
    <w:rsid w:val="0017014A"/>
    <w:rsid w:val="001701D7"/>
    <w:rsid w:val="001702A6"/>
    <w:rsid w:val="00170948"/>
    <w:rsid w:val="00170C55"/>
    <w:rsid w:val="00170E7D"/>
    <w:rsid w:val="00171310"/>
    <w:rsid w:val="001713B5"/>
    <w:rsid w:val="001719FF"/>
    <w:rsid w:val="00171D6E"/>
    <w:rsid w:val="00171EE0"/>
    <w:rsid w:val="001728E8"/>
    <w:rsid w:val="00172995"/>
    <w:rsid w:val="00172AB0"/>
    <w:rsid w:val="0017325F"/>
    <w:rsid w:val="00173418"/>
    <w:rsid w:val="001736C4"/>
    <w:rsid w:val="001739AE"/>
    <w:rsid w:val="0017502E"/>
    <w:rsid w:val="0017549E"/>
    <w:rsid w:val="001755E3"/>
    <w:rsid w:val="00175D57"/>
    <w:rsid w:val="0017617C"/>
    <w:rsid w:val="0017727C"/>
    <w:rsid w:val="00177D4A"/>
    <w:rsid w:val="0018019A"/>
    <w:rsid w:val="0018061F"/>
    <w:rsid w:val="00180AA0"/>
    <w:rsid w:val="001810D2"/>
    <w:rsid w:val="001814D2"/>
    <w:rsid w:val="00181CF1"/>
    <w:rsid w:val="00181E5D"/>
    <w:rsid w:val="00182016"/>
    <w:rsid w:val="0018231C"/>
    <w:rsid w:val="001824E1"/>
    <w:rsid w:val="0018250D"/>
    <w:rsid w:val="00182D95"/>
    <w:rsid w:val="00182F95"/>
    <w:rsid w:val="00182F9F"/>
    <w:rsid w:val="00183469"/>
    <w:rsid w:val="001835B1"/>
    <w:rsid w:val="00183D7F"/>
    <w:rsid w:val="0018403D"/>
    <w:rsid w:val="001847A2"/>
    <w:rsid w:val="0018560A"/>
    <w:rsid w:val="0018586A"/>
    <w:rsid w:val="00185E0B"/>
    <w:rsid w:val="00185ECC"/>
    <w:rsid w:val="00186646"/>
    <w:rsid w:val="00186828"/>
    <w:rsid w:val="00186AEB"/>
    <w:rsid w:val="0018705F"/>
    <w:rsid w:val="001873B0"/>
    <w:rsid w:val="00187AFF"/>
    <w:rsid w:val="00187DE0"/>
    <w:rsid w:val="00190415"/>
    <w:rsid w:val="00190447"/>
    <w:rsid w:val="00190CFD"/>
    <w:rsid w:val="00190E2C"/>
    <w:rsid w:val="0019167A"/>
    <w:rsid w:val="00191A0A"/>
    <w:rsid w:val="00191FE9"/>
    <w:rsid w:val="00191FFC"/>
    <w:rsid w:val="00192044"/>
    <w:rsid w:val="00192501"/>
    <w:rsid w:val="00192A8C"/>
    <w:rsid w:val="00192BE9"/>
    <w:rsid w:val="001931D8"/>
    <w:rsid w:val="001931F5"/>
    <w:rsid w:val="001933C5"/>
    <w:rsid w:val="0019373C"/>
    <w:rsid w:val="001939E8"/>
    <w:rsid w:val="00193B9B"/>
    <w:rsid w:val="00193E3C"/>
    <w:rsid w:val="00194137"/>
    <w:rsid w:val="001949F7"/>
    <w:rsid w:val="00194BA0"/>
    <w:rsid w:val="00194C8A"/>
    <w:rsid w:val="00195EF8"/>
    <w:rsid w:val="0019621A"/>
    <w:rsid w:val="00196642"/>
    <w:rsid w:val="00197316"/>
    <w:rsid w:val="00197646"/>
    <w:rsid w:val="00197666"/>
    <w:rsid w:val="0019770A"/>
    <w:rsid w:val="00197B2E"/>
    <w:rsid w:val="001A0195"/>
    <w:rsid w:val="001A058F"/>
    <w:rsid w:val="001A0780"/>
    <w:rsid w:val="001A08E4"/>
    <w:rsid w:val="001A0AE2"/>
    <w:rsid w:val="001A1392"/>
    <w:rsid w:val="001A13FE"/>
    <w:rsid w:val="001A2748"/>
    <w:rsid w:val="001A2ABE"/>
    <w:rsid w:val="001A2D7A"/>
    <w:rsid w:val="001A2FCA"/>
    <w:rsid w:val="001A37C2"/>
    <w:rsid w:val="001A39B7"/>
    <w:rsid w:val="001A40AD"/>
    <w:rsid w:val="001A43F3"/>
    <w:rsid w:val="001A4551"/>
    <w:rsid w:val="001A4962"/>
    <w:rsid w:val="001A4EF9"/>
    <w:rsid w:val="001A5197"/>
    <w:rsid w:val="001A57D8"/>
    <w:rsid w:val="001A5CA2"/>
    <w:rsid w:val="001A5E70"/>
    <w:rsid w:val="001A6183"/>
    <w:rsid w:val="001A6635"/>
    <w:rsid w:val="001A6822"/>
    <w:rsid w:val="001A6905"/>
    <w:rsid w:val="001A6F00"/>
    <w:rsid w:val="001A705A"/>
    <w:rsid w:val="001A7239"/>
    <w:rsid w:val="001A7BDF"/>
    <w:rsid w:val="001A7E24"/>
    <w:rsid w:val="001B0FE2"/>
    <w:rsid w:val="001B112C"/>
    <w:rsid w:val="001B178A"/>
    <w:rsid w:val="001B196B"/>
    <w:rsid w:val="001B1C21"/>
    <w:rsid w:val="001B1F18"/>
    <w:rsid w:val="001B2144"/>
    <w:rsid w:val="001B23DE"/>
    <w:rsid w:val="001B26E7"/>
    <w:rsid w:val="001B27A2"/>
    <w:rsid w:val="001B2B20"/>
    <w:rsid w:val="001B2BD7"/>
    <w:rsid w:val="001B2D52"/>
    <w:rsid w:val="001B2FAD"/>
    <w:rsid w:val="001B3737"/>
    <w:rsid w:val="001B3899"/>
    <w:rsid w:val="001B3A82"/>
    <w:rsid w:val="001B44D0"/>
    <w:rsid w:val="001B4D4E"/>
    <w:rsid w:val="001B4E01"/>
    <w:rsid w:val="001B50F5"/>
    <w:rsid w:val="001B51BC"/>
    <w:rsid w:val="001B5387"/>
    <w:rsid w:val="001B56A9"/>
    <w:rsid w:val="001B585C"/>
    <w:rsid w:val="001B5DA2"/>
    <w:rsid w:val="001B6042"/>
    <w:rsid w:val="001B63B3"/>
    <w:rsid w:val="001B68C7"/>
    <w:rsid w:val="001B737D"/>
    <w:rsid w:val="001C0235"/>
    <w:rsid w:val="001C04DD"/>
    <w:rsid w:val="001C0833"/>
    <w:rsid w:val="001C0B13"/>
    <w:rsid w:val="001C1727"/>
    <w:rsid w:val="001C184B"/>
    <w:rsid w:val="001C1DD8"/>
    <w:rsid w:val="001C1F73"/>
    <w:rsid w:val="001C21EE"/>
    <w:rsid w:val="001C2311"/>
    <w:rsid w:val="001C27BE"/>
    <w:rsid w:val="001C296F"/>
    <w:rsid w:val="001C2F29"/>
    <w:rsid w:val="001C33A6"/>
    <w:rsid w:val="001C393A"/>
    <w:rsid w:val="001C3A1B"/>
    <w:rsid w:val="001C3C30"/>
    <w:rsid w:val="001C3CA0"/>
    <w:rsid w:val="001C42A7"/>
    <w:rsid w:val="001C4E4F"/>
    <w:rsid w:val="001C53F0"/>
    <w:rsid w:val="001C540F"/>
    <w:rsid w:val="001C59EC"/>
    <w:rsid w:val="001C5CC0"/>
    <w:rsid w:val="001C617B"/>
    <w:rsid w:val="001C6252"/>
    <w:rsid w:val="001C64DC"/>
    <w:rsid w:val="001C6AB1"/>
    <w:rsid w:val="001C70FE"/>
    <w:rsid w:val="001C78B3"/>
    <w:rsid w:val="001C791E"/>
    <w:rsid w:val="001C7D5D"/>
    <w:rsid w:val="001D0E6A"/>
    <w:rsid w:val="001D1338"/>
    <w:rsid w:val="001D1545"/>
    <w:rsid w:val="001D2119"/>
    <w:rsid w:val="001D2293"/>
    <w:rsid w:val="001D2994"/>
    <w:rsid w:val="001D2BAB"/>
    <w:rsid w:val="001D3342"/>
    <w:rsid w:val="001D34C3"/>
    <w:rsid w:val="001D3952"/>
    <w:rsid w:val="001D3ABD"/>
    <w:rsid w:val="001D4490"/>
    <w:rsid w:val="001D44DA"/>
    <w:rsid w:val="001D462E"/>
    <w:rsid w:val="001D48A4"/>
    <w:rsid w:val="001D4D21"/>
    <w:rsid w:val="001D52D5"/>
    <w:rsid w:val="001D54CC"/>
    <w:rsid w:val="001D5A4C"/>
    <w:rsid w:val="001D5CD1"/>
    <w:rsid w:val="001D60AC"/>
    <w:rsid w:val="001D727E"/>
    <w:rsid w:val="001D7622"/>
    <w:rsid w:val="001D76BE"/>
    <w:rsid w:val="001D78AC"/>
    <w:rsid w:val="001D7B5D"/>
    <w:rsid w:val="001D7EF6"/>
    <w:rsid w:val="001E02B9"/>
    <w:rsid w:val="001E0A80"/>
    <w:rsid w:val="001E0DE7"/>
    <w:rsid w:val="001E0EA5"/>
    <w:rsid w:val="001E1A4B"/>
    <w:rsid w:val="001E1CD4"/>
    <w:rsid w:val="001E1F22"/>
    <w:rsid w:val="001E21D6"/>
    <w:rsid w:val="001E25B3"/>
    <w:rsid w:val="001E25C5"/>
    <w:rsid w:val="001E27DA"/>
    <w:rsid w:val="001E300A"/>
    <w:rsid w:val="001E388B"/>
    <w:rsid w:val="001E42A4"/>
    <w:rsid w:val="001E449C"/>
    <w:rsid w:val="001E4503"/>
    <w:rsid w:val="001E4F41"/>
    <w:rsid w:val="001E5399"/>
    <w:rsid w:val="001E5409"/>
    <w:rsid w:val="001E5D7B"/>
    <w:rsid w:val="001E6407"/>
    <w:rsid w:val="001E6956"/>
    <w:rsid w:val="001E745F"/>
    <w:rsid w:val="001E775C"/>
    <w:rsid w:val="001E77FE"/>
    <w:rsid w:val="001E7D64"/>
    <w:rsid w:val="001E7DDA"/>
    <w:rsid w:val="001F00A4"/>
    <w:rsid w:val="001F0AF0"/>
    <w:rsid w:val="001F0C0A"/>
    <w:rsid w:val="001F0DBD"/>
    <w:rsid w:val="001F1007"/>
    <w:rsid w:val="001F110C"/>
    <w:rsid w:val="001F11B3"/>
    <w:rsid w:val="001F130C"/>
    <w:rsid w:val="001F1620"/>
    <w:rsid w:val="001F169A"/>
    <w:rsid w:val="001F18A8"/>
    <w:rsid w:val="001F19C8"/>
    <w:rsid w:val="001F1D99"/>
    <w:rsid w:val="001F1E4F"/>
    <w:rsid w:val="001F24D0"/>
    <w:rsid w:val="001F2538"/>
    <w:rsid w:val="001F2677"/>
    <w:rsid w:val="001F287E"/>
    <w:rsid w:val="001F2A24"/>
    <w:rsid w:val="001F2C7C"/>
    <w:rsid w:val="001F2F20"/>
    <w:rsid w:val="001F308D"/>
    <w:rsid w:val="001F38BF"/>
    <w:rsid w:val="001F4491"/>
    <w:rsid w:val="001F4E04"/>
    <w:rsid w:val="001F4E1C"/>
    <w:rsid w:val="001F63FD"/>
    <w:rsid w:val="001F64FB"/>
    <w:rsid w:val="001F6500"/>
    <w:rsid w:val="001F67DC"/>
    <w:rsid w:val="001F6841"/>
    <w:rsid w:val="001F68B6"/>
    <w:rsid w:val="001F6920"/>
    <w:rsid w:val="001F6F55"/>
    <w:rsid w:val="001F76B3"/>
    <w:rsid w:val="001F7FA7"/>
    <w:rsid w:val="0020025A"/>
    <w:rsid w:val="0020047A"/>
    <w:rsid w:val="00200ADB"/>
    <w:rsid w:val="00200BA2"/>
    <w:rsid w:val="00200E52"/>
    <w:rsid w:val="00201266"/>
    <w:rsid w:val="002018AD"/>
    <w:rsid w:val="00201EED"/>
    <w:rsid w:val="0020205F"/>
    <w:rsid w:val="00202409"/>
    <w:rsid w:val="002027CE"/>
    <w:rsid w:val="00202AB2"/>
    <w:rsid w:val="00202C12"/>
    <w:rsid w:val="0020304E"/>
    <w:rsid w:val="00203113"/>
    <w:rsid w:val="00203285"/>
    <w:rsid w:val="00203CC1"/>
    <w:rsid w:val="00203DFC"/>
    <w:rsid w:val="00204153"/>
    <w:rsid w:val="00204320"/>
    <w:rsid w:val="002043BF"/>
    <w:rsid w:val="002044CD"/>
    <w:rsid w:val="002058A4"/>
    <w:rsid w:val="00205B87"/>
    <w:rsid w:val="002063B7"/>
    <w:rsid w:val="0020660D"/>
    <w:rsid w:val="0020673B"/>
    <w:rsid w:val="00206FF7"/>
    <w:rsid w:val="002071E9"/>
    <w:rsid w:val="0020798C"/>
    <w:rsid w:val="002101AE"/>
    <w:rsid w:val="002101C8"/>
    <w:rsid w:val="002101EB"/>
    <w:rsid w:val="002105A7"/>
    <w:rsid w:val="00210755"/>
    <w:rsid w:val="002108CA"/>
    <w:rsid w:val="00210A5D"/>
    <w:rsid w:val="00210E16"/>
    <w:rsid w:val="0021189E"/>
    <w:rsid w:val="002119D1"/>
    <w:rsid w:val="002122A5"/>
    <w:rsid w:val="002122BF"/>
    <w:rsid w:val="0021251F"/>
    <w:rsid w:val="00212692"/>
    <w:rsid w:val="00212695"/>
    <w:rsid w:val="0021272F"/>
    <w:rsid w:val="00213B1B"/>
    <w:rsid w:val="00213C6D"/>
    <w:rsid w:val="00213FA6"/>
    <w:rsid w:val="00214234"/>
    <w:rsid w:val="002144B6"/>
    <w:rsid w:val="00215314"/>
    <w:rsid w:val="00215358"/>
    <w:rsid w:val="0021574F"/>
    <w:rsid w:val="00215A54"/>
    <w:rsid w:val="0021647C"/>
    <w:rsid w:val="00216578"/>
    <w:rsid w:val="00216C35"/>
    <w:rsid w:val="00217000"/>
    <w:rsid w:val="00217748"/>
    <w:rsid w:val="00217F65"/>
    <w:rsid w:val="002200A4"/>
    <w:rsid w:val="00220DCB"/>
    <w:rsid w:val="0022124D"/>
    <w:rsid w:val="002219F1"/>
    <w:rsid w:val="00222019"/>
    <w:rsid w:val="002222C4"/>
    <w:rsid w:val="0022246E"/>
    <w:rsid w:val="002227B0"/>
    <w:rsid w:val="00222B4D"/>
    <w:rsid w:val="00222B6F"/>
    <w:rsid w:val="00224009"/>
    <w:rsid w:val="002242CC"/>
    <w:rsid w:val="00224985"/>
    <w:rsid w:val="00224AC3"/>
    <w:rsid w:val="00224ED6"/>
    <w:rsid w:val="00225080"/>
    <w:rsid w:val="0022556E"/>
    <w:rsid w:val="002255F0"/>
    <w:rsid w:val="0022589D"/>
    <w:rsid w:val="002259A2"/>
    <w:rsid w:val="00225BF7"/>
    <w:rsid w:val="00225D34"/>
    <w:rsid w:val="00226277"/>
    <w:rsid w:val="00226BB4"/>
    <w:rsid w:val="002272F4"/>
    <w:rsid w:val="002276FC"/>
    <w:rsid w:val="002277BC"/>
    <w:rsid w:val="002278EA"/>
    <w:rsid w:val="00230125"/>
    <w:rsid w:val="00230DD7"/>
    <w:rsid w:val="002311D9"/>
    <w:rsid w:val="00231D4B"/>
    <w:rsid w:val="00231F52"/>
    <w:rsid w:val="002322D6"/>
    <w:rsid w:val="00233FB2"/>
    <w:rsid w:val="00234315"/>
    <w:rsid w:val="00234698"/>
    <w:rsid w:val="0023475B"/>
    <w:rsid w:val="00234AAD"/>
    <w:rsid w:val="00234C8F"/>
    <w:rsid w:val="002350C0"/>
    <w:rsid w:val="00235549"/>
    <w:rsid w:val="002367A4"/>
    <w:rsid w:val="002367BA"/>
    <w:rsid w:val="002373EA"/>
    <w:rsid w:val="00237A1B"/>
    <w:rsid w:val="00240A68"/>
    <w:rsid w:val="00240A92"/>
    <w:rsid w:val="00240CB2"/>
    <w:rsid w:val="00240F9D"/>
    <w:rsid w:val="00241013"/>
    <w:rsid w:val="002419B0"/>
    <w:rsid w:val="0024217E"/>
    <w:rsid w:val="002423C8"/>
    <w:rsid w:val="00242910"/>
    <w:rsid w:val="00242AD5"/>
    <w:rsid w:val="00242DE4"/>
    <w:rsid w:val="0024321A"/>
    <w:rsid w:val="00243285"/>
    <w:rsid w:val="00243623"/>
    <w:rsid w:val="0024366B"/>
    <w:rsid w:val="00243AEB"/>
    <w:rsid w:val="00243B45"/>
    <w:rsid w:val="002444F5"/>
    <w:rsid w:val="002448BF"/>
    <w:rsid w:val="00244BD7"/>
    <w:rsid w:val="00244C87"/>
    <w:rsid w:val="002453C7"/>
    <w:rsid w:val="00245C22"/>
    <w:rsid w:val="00246F22"/>
    <w:rsid w:val="0024730C"/>
    <w:rsid w:val="00247435"/>
    <w:rsid w:val="0024766F"/>
    <w:rsid w:val="00247B60"/>
    <w:rsid w:val="00247ECA"/>
    <w:rsid w:val="002509FA"/>
    <w:rsid w:val="00250DCD"/>
    <w:rsid w:val="00251244"/>
    <w:rsid w:val="00251D4D"/>
    <w:rsid w:val="00251E97"/>
    <w:rsid w:val="00251F6E"/>
    <w:rsid w:val="002527A1"/>
    <w:rsid w:val="0025322A"/>
    <w:rsid w:val="00253427"/>
    <w:rsid w:val="00253C1D"/>
    <w:rsid w:val="00254253"/>
    <w:rsid w:val="002544C0"/>
    <w:rsid w:val="0025468F"/>
    <w:rsid w:val="0025481A"/>
    <w:rsid w:val="00254EA2"/>
    <w:rsid w:val="002551DB"/>
    <w:rsid w:val="002552B1"/>
    <w:rsid w:val="00255B41"/>
    <w:rsid w:val="00255B55"/>
    <w:rsid w:val="00255B7C"/>
    <w:rsid w:val="002564B4"/>
    <w:rsid w:val="002565D7"/>
    <w:rsid w:val="002565E1"/>
    <w:rsid w:val="00256613"/>
    <w:rsid w:val="0025709E"/>
    <w:rsid w:val="002576DD"/>
    <w:rsid w:val="00257AF7"/>
    <w:rsid w:val="002600E1"/>
    <w:rsid w:val="00260275"/>
    <w:rsid w:val="002605C1"/>
    <w:rsid w:val="0026072F"/>
    <w:rsid w:val="00260826"/>
    <w:rsid w:val="0026086D"/>
    <w:rsid w:val="00260A9E"/>
    <w:rsid w:val="00260B95"/>
    <w:rsid w:val="00261E5F"/>
    <w:rsid w:val="0026238D"/>
    <w:rsid w:val="00262A38"/>
    <w:rsid w:val="00263124"/>
    <w:rsid w:val="00263150"/>
    <w:rsid w:val="00263627"/>
    <w:rsid w:val="0026375F"/>
    <w:rsid w:val="002638E1"/>
    <w:rsid w:val="00264448"/>
    <w:rsid w:val="002645C0"/>
    <w:rsid w:val="00264E6A"/>
    <w:rsid w:val="0026556B"/>
    <w:rsid w:val="00265C36"/>
    <w:rsid w:val="00265EFA"/>
    <w:rsid w:val="00266092"/>
    <w:rsid w:val="0026610D"/>
    <w:rsid w:val="00266462"/>
    <w:rsid w:val="002666C9"/>
    <w:rsid w:val="002668CB"/>
    <w:rsid w:val="00266EB5"/>
    <w:rsid w:val="00266F87"/>
    <w:rsid w:val="002673D0"/>
    <w:rsid w:val="002679BE"/>
    <w:rsid w:val="00267F63"/>
    <w:rsid w:val="00270D57"/>
    <w:rsid w:val="002712AA"/>
    <w:rsid w:val="00271312"/>
    <w:rsid w:val="002714A7"/>
    <w:rsid w:val="00271701"/>
    <w:rsid w:val="00271A46"/>
    <w:rsid w:val="00271CD4"/>
    <w:rsid w:val="00272223"/>
    <w:rsid w:val="002725DF"/>
    <w:rsid w:val="0027273D"/>
    <w:rsid w:val="00272765"/>
    <w:rsid w:val="00272AEA"/>
    <w:rsid w:val="00272D97"/>
    <w:rsid w:val="00273994"/>
    <w:rsid w:val="00273A45"/>
    <w:rsid w:val="00273ADD"/>
    <w:rsid w:val="00273D66"/>
    <w:rsid w:val="00274763"/>
    <w:rsid w:val="002749E7"/>
    <w:rsid w:val="00274CBC"/>
    <w:rsid w:val="00274F58"/>
    <w:rsid w:val="002750E5"/>
    <w:rsid w:val="0027543D"/>
    <w:rsid w:val="00275477"/>
    <w:rsid w:val="0027585A"/>
    <w:rsid w:val="0027608B"/>
    <w:rsid w:val="002761AB"/>
    <w:rsid w:val="0027672A"/>
    <w:rsid w:val="002768F2"/>
    <w:rsid w:val="00276CCC"/>
    <w:rsid w:val="00276DD9"/>
    <w:rsid w:val="00276F55"/>
    <w:rsid w:val="00277467"/>
    <w:rsid w:val="00277789"/>
    <w:rsid w:val="00277C70"/>
    <w:rsid w:val="00280049"/>
    <w:rsid w:val="002802AD"/>
    <w:rsid w:val="00280C73"/>
    <w:rsid w:val="002818F4"/>
    <w:rsid w:val="00282044"/>
    <w:rsid w:val="002821DA"/>
    <w:rsid w:val="0028231D"/>
    <w:rsid w:val="002826AE"/>
    <w:rsid w:val="002827E9"/>
    <w:rsid w:val="002831FB"/>
    <w:rsid w:val="00283691"/>
    <w:rsid w:val="0028389E"/>
    <w:rsid w:val="002841EC"/>
    <w:rsid w:val="002846C9"/>
    <w:rsid w:val="002848FC"/>
    <w:rsid w:val="00284937"/>
    <w:rsid w:val="00284E24"/>
    <w:rsid w:val="00285563"/>
    <w:rsid w:val="002858CD"/>
    <w:rsid w:val="00285A33"/>
    <w:rsid w:val="00285B4C"/>
    <w:rsid w:val="002860C8"/>
    <w:rsid w:val="002867F4"/>
    <w:rsid w:val="00286836"/>
    <w:rsid w:val="00286C4E"/>
    <w:rsid w:val="0028759F"/>
    <w:rsid w:val="00287784"/>
    <w:rsid w:val="00287AA6"/>
    <w:rsid w:val="00287ED5"/>
    <w:rsid w:val="00287FF7"/>
    <w:rsid w:val="00290141"/>
    <w:rsid w:val="0029081C"/>
    <w:rsid w:val="00291122"/>
    <w:rsid w:val="002912C2"/>
    <w:rsid w:val="0029133F"/>
    <w:rsid w:val="002913C6"/>
    <w:rsid w:val="00291524"/>
    <w:rsid w:val="002919B8"/>
    <w:rsid w:val="00291BF5"/>
    <w:rsid w:val="00292035"/>
    <w:rsid w:val="002923C5"/>
    <w:rsid w:val="0029264A"/>
    <w:rsid w:val="00292E47"/>
    <w:rsid w:val="002939E2"/>
    <w:rsid w:val="0029466E"/>
    <w:rsid w:val="00294FB6"/>
    <w:rsid w:val="00295149"/>
    <w:rsid w:val="002952D4"/>
    <w:rsid w:val="00295341"/>
    <w:rsid w:val="002953A2"/>
    <w:rsid w:val="00295AB4"/>
    <w:rsid w:val="0029632E"/>
    <w:rsid w:val="002966B0"/>
    <w:rsid w:val="002967F3"/>
    <w:rsid w:val="00296CE1"/>
    <w:rsid w:val="00297F87"/>
    <w:rsid w:val="00297FC4"/>
    <w:rsid w:val="002A09E1"/>
    <w:rsid w:val="002A0CDF"/>
    <w:rsid w:val="002A0F7E"/>
    <w:rsid w:val="002A1059"/>
    <w:rsid w:val="002A1532"/>
    <w:rsid w:val="002A15BA"/>
    <w:rsid w:val="002A1D6D"/>
    <w:rsid w:val="002A1F30"/>
    <w:rsid w:val="002A2091"/>
    <w:rsid w:val="002A226D"/>
    <w:rsid w:val="002A26A2"/>
    <w:rsid w:val="002A28C4"/>
    <w:rsid w:val="002A2AF4"/>
    <w:rsid w:val="002A2F45"/>
    <w:rsid w:val="002A3D7C"/>
    <w:rsid w:val="002A44FC"/>
    <w:rsid w:val="002A46B5"/>
    <w:rsid w:val="002A4AB3"/>
    <w:rsid w:val="002A5726"/>
    <w:rsid w:val="002A578A"/>
    <w:rsid w:val="002A5870"/>
    <w:rsid w:val="002A60A8"/>
    <w:rsid w:val="002A654B"/>
    <w:rsid w:val="002A6785"/>
    <w:rsid w:val="002A694D"/>
    <w:rsid w:val="002A6B56"/>
    <w:rsid w:val="002A6C33"/>
    <w:rsid w:val="002A6FF2"/>
    <w:rsid w:val="002A7722"/>
    <w:rsid w:val="002A7916"/>
    <w:rsid w:val="002A7DE5"/>
    <w:rsid w:val="002B019C"/>
    <w:rsid w:val="002B0A02"/>
    <w:rsid w:val="002B1674"/>
    <w:rsid w:val="002B177B"/>
    <w:rsid w:val="002B1816"/>
    <w:rsid w:val="002B1BF0"/>
    <w:rsid w:val="002B1CBC"/>
    <w:rsid w:val="002B1E52"/>
    <w:rsid w:val="002B28F3"/>
    <w:rsid w:val="002B3053"/>
    <w:rsid w:val="002B34E5"/>
    <w:rsid w:val="002B353F"/>
    <w:rsid w:val="002B362E"/>
    <w:rsid w:val="002B3F97"/>
    <w:rsid w:val="002B41C8"/>
    <w:rsid w:val="002B47E5"/>
    <w:rsid w:val="002B4EF5"/>
    <w:rsid w:val="002B5341"/>
    <w:rsid w:val="002B5384"/>
    <w:rsid w:val="002B5499"/>
    <w:rsid w:val="002B55DE"/>
    <w:rsid w:val="002B6090"/>
    <w:rsid w:val="002B60A0"/>
    <w:rsid w:val="002B65CA"/>
    <w:rsid w:val="002B6604"/>
    <w:rsid w:val="002B6803"/>
    <w:rsid w:val="002B6BDA"/>
    <w:rsid w:val="002B6E2C"/>
    <w:rsid w:val="002B6FD2"/>
    <w:rsid w:val="002B7248"/>
    <w:rsid w:val="002B7263"/>
    <w:rsid w:val="002B79D1"/>
    <w:rsid w:val="002C193A"/>
    <w:rsid w:val="002C1DD6"/>
    <w:rsid w:val="002C1FFA"/>
    <w:rsid w:val="002C21A1"/>
    <w:rsid w:val="002C228C"/>
    <w:rsid w:val="002C23F7"/>
    <w:rsid w:val="002C2965"/>
    <w:rsid w:val="002C2A17"/>
    <w:rsid w:val="002C2BB2"/>
    <w:rsid w:val="002C345E"/>
    <w:rsid w:val="002C34BD"/>
    <w:rsid w:val="002C34E1"/>
    <w:rsid w:val="002C3873"/>
    <w:rsid w:val="002C3C85"/>
    <w:rsid w:val="002C41F4"/>
    <w:rsid w:val="002C4D77"/>
    <w:rsid w:val="002C53FC"/>
    <w:rsid w:val="002C59E7"/>
    <w:rsid w:val="002C5FC7"/>
    <w:rsid w:val="002C6927"/>
    <w:rsid w:val="002C6C2B"/>
    <w:rsid w:val="002C6F6D"/>
    <w:rsid w:val="002C73EC"/>
    <w:rsid w:val="002C7576"/>
    <w:rsid w:val="002C7651"/>
    <w:rsid w:val="002C7824"/>
    <w:rsid w:val="002C7859"/>
    <w:rsid w:val="002D02E9"/>
    <w:rsid w:val="002D0546"/>
    <w:rsid w:val="002D07C1"/>
    <w:rsid w:val="002D0822"/>
    <w:rsid w:val="002D0860"/>
    <w:rsid w:val="002D0AB6"/>
    <w:rsid w:val="002D1044"/>
    <w:rsid w:val="002D1814"/>
    <w:rsid w:val="002D1A08"/>
    <w:rsid w:val="002D1D12"/>
    <w:rsid w:val="002D326A"/>
    <w:rsid w:val="002D3431"/>
    <w:rsid w:val="002D37AA"/>
    <w:rsid w:val="002D401C"/>
    <w:rsid w:val="002D4281"/>
    <w:rsid w:val="002D44A6"/>
    <w:rsid w:val="002D4782"/>
    <w:rsid w:val="002D479D"/>
    <w:rsid w:val="002D4950"/>
    <w:rsid w:val="002D52EE"/>
    <w:rsid w:val="002D54C0"/>
    <w:rsid w:val="002D589C"/>
    <w:rsid w:val="002D5F2D"/>
    <w:rsid w:val="002D6096"/>
    <w:rsid w:val="002D615A"/>
    <w:rsid w:val="002D6A48"/>
    <w:rsid w:val="002D7129"/>
    <w:rsid w:val="002D7494"/>
    <w:rsid w:val="002D74CA"/>
    <w:rsid w:val="002D751E"/>
    <w:rsid w:val="002E01BA"/>
    <w:rsid w:val="002E0230"/>
    <w:rsid w:val="002E024A"/>
    <w:rsid w:val="002E0471"/>
    <w:rsid w:val="002E14C4"/>
    <w:rsid w:val="002E1A58"/>
    <w:rsid w:val="002E1C2E"/>
    <w:rsid w:val="002E1C5F"/>
    <w:rsid w:val="002E1FA1"/>
    <w:rsid w:val="002E2876"/>
    <w:rsid w:val="002E2EE9"/>
    <w:rsid w:val="002E3A24"/>
    <w:rsid w:val="002E3CEC"/>
    <w:rsid w:val="002E45F5"/>
    <w:rsid w:val="002E51B6"/>
    <w:rsid w:val="002E576B"/>
    <w:rsid w:val="002E6421"/>
    <w:rsid w:val="002E701B"/>
    <w:rsid w:val="002E7A40"/>
    <w:rsid w:val="002F056F"/>
    <w:rsid w:val="002F06ED"/>
    <w:rsid w:val="002F092B"/>
    <w:rsid w:val="002F0955"/>
    <w:rsid w:val="002F0CAF"/>
    <w:rsid w:val="002F0E75"/>
    <w:rsid w:val="002F108A"/>
    <w:rsid w:val="002F1242"/>
    <w:rsid w:val="002F13BE"/>
    <w:rsid w:val="002F16CF"/>
    <w:rsid w:val="002F1BE4"/>
    <w:rsid w:val="002F2837"/>
    <w:rsid w:val="002F2930"/>
    <w:rsid w:val="002F2C35"/>
    <w:rsid w:val="002F3046"/>
    <w:rsid w:val="002F32C2"/>
    <w:rsid w:val="002F344D"/>
    <w:rsid w:val="002F34CD"/>
    <w:rsid w:val="002F3A06"/>
    <w:rsid w:val="002F407F"/>
    <w:rsid w:val="002F4529"/>
    <w:rsid w:val="002F4890"/>
    <w:rsid w:val="002F4EEC"/>
    <w:rsid w:val="002F51FB"/>
    <w:rsid w:val="002F52E5"/>
    <w:rsid w:val="002F5A06"/>
    <w:rsid w:val="002F5CD3"/>
    <w:rsid w:val="002F605B"/>
    <w:rsid w:val="002F6809"/>
    <w:rsid w:val="002F6B5B"/>
    <w:rsid w:val="002F6CF8"/>
    <w:rsid w:val="002F7C86"/>
    <w:rsid w:val="00300A7F"/>
    <w:rsid w:val="00300F0F"/>
    <w:rsid w:val="00301106"/>
    <w:rsid w:val="00301B75"/>
    <w:rsid w:val="003024A8"/>
    <w:rsid w:val="00302B2F"/>
    <w:rsid w:val="00302E80"/>
    <w:rsid w:val="003030C7"/>
    <w:rsid w:val="00303130"/>
    <w:rsid w:val="00303173"/>
    <w:rsid w:val="0030369A"/>
    <w:rsid w:val="00303E5D"/>
    <w:rsid w:val="00303F88"/>
    <w:rsid w:val="003041FD"/>
    <w:rsid w:val="003055C6"/>
    <w:rsid w:val="00305BCD"/>
    <w:rsid w:val="00305C43"/>
    <w:rsid w:val="00305C96"/>
    <w:rsid w:val="0030601E"/>
    <w:rsid w:val="003063E3"/>
    <w:rsid w:val="0030642C"/>
    <w:rsid w:val="00306461"/>
    <w:rsid w:val="00306C9B"/>
    <w:rsid w:val="00307973"/>
    <w:rsid w:val="00307CDB"/>
    <w:rsid w:val="00307F5F"/>
    <w:rsid w:val="00310601"/>
    <w:rsid w:val="003106E5"/>
    <w:rsid w:val="00310AEC"/>
    <w:rsid w:val="00310D41"/>
    <w:rsid w:val="00310DC1"/>
    <w:rsid w:val="00310F1C"/>
    <w:rsid w:val="00311018"/>
    <w:rsid w:val="00311159"/>
    <w:rsid w:val="00311237"/>
    <w:rsid w:val="00311812"/>
    <w:rsid w:val="00311AE3"/>
    <w:rsid w:val="00311D4A"/>
    <w:rsid w:val="00312039"/>
    <w:rsid w:val="0031217A"/>
    <w:rsid w:val="00312548"/>
    <w:rsid w:val="00312CC3"/>
    <w:rsid w:val="0031357B"/>
    <w:rsid w:val="0031362F"/>
    <w:rsid w:val="00313D13"/>
    <w:rsid w:val="00313F63"/>
    <w:rsid w:val="003143F5"/>
    <w:rsid w:val="00314CBA"/>
    <w:rsid w:val="00314E31"/>
    <w:rsid w:val="00315B92"/>
    <w:rsid w:val="0031642E"/>
    <w:rsid w:val="00316A64"/>
    <w:rsid w:val="00316F31"/>
    <w:rsid w:val="00317162"/>
    <w:rsid w:val="0031731C"/>
    <w:rsid w:val="00317C73"/>
    <w:rsid w:val="003207F4"/>
    <w:rsid w:val="00320DB8"/>
    <w:rsid w:val="00321077"/>
    <w:rsid w:val="00321600"/>
    <w:rsid w:val="00321E76"/>
    <w:rsid w:val="00321ECE"/>
    <w:rsid w:val="0032266A"/>
    <w:rsid w:val="00322956"/>
    <w:rsid w:val="00322F29"/>
    <w:rsid w:val="00323108"/>
    <w:rsid w:val="00323A3E"/>
    <w:rsid w:val="00323B18"/>
    <w:rsid w:val="00323E8D"/>
    <w:rsid w:val="00324483"/>
    <w:rsid w:val="00324E68"/>
    <w:rsid w:val="0032507B"/>
    <w:rsid w:val="003250F0"/>
    <w:rsid w:val="00325475"/>
    <w:rsid w:val="003258C5"/>
    <w:rsid w:val="003259C4"/>
    <w:rsid w:val="00325AE5"/>
    <w:rsid w:val="00326780"/>
    <w:rsid w:val="00326B32"/>
    <w:rsid w:val="00326BFB"/>
    <w:rsid w:val="00326CAE"/>
    <w:rsid w:val="00326D04"/>
    <w:rsid w:val="00326D6E"/>
    <w:rsid w:val="00326DE7"/>
    <w:rsid w:val="00326F1B"/>
    <w:rsid w:val="00327334"/>
    <w:rsid w:val="003276FA"/>
    <w:rsid w:val="00330543"/>
    <w:rsid w:val="00330965"/>
    <w:rsid w:val="0033121F"/>
    <w:rsid w:val="00331588"/>
    <w:rsid w:val="003316EE"/>
    <w:rsid w:val="00331720"/>
    <w:rsid w:val="00331D41"/>
    <w:rsid w:val="003322EB"/>
    <w:rsid w:val="0033257E"/>
    <w:rsid w:val="00332AF8"/>
    <w:rsid w:val="00332CA8"/>
    <w:rsid w:val="00332EBE"/>
    <w:rsid w:val="003330F3"/>
    <w:rsid w:val="003331BE"/>
    <w:rsid w:val="00333261"/>
    <w:rsid w:val="00333C68"/>
    <w:rsid w:val="003343D3"/>
    <w:rsid w:val="00334756"/>
    <w:rsid w:val="003347FF"/>
    <w:rsid w:val="00334ECA"/>
    <w:rsid w:val="00335666"/>
    <w:rsid w:val="003357E6"/>
    <w:rsid w:val="003358E8"/>
    <w:rsid w:val="003359E3"/>
    <w:rsid w:val="00335BE1"/>
    <w:rsid w:val="003363A2"/>
    <w:rsid w:val="003365FA"/>
    <w:rsid w:val="00337396"/>
    <w:rsid w:val="003373C1"/>
    <w:rsid w:val="00337408"/>
    <w:rsid w:val="00337922"/>
    <w:rsid w:val="00337A9E"/>
    <w:rsid w:val="00337C2D"/>
    <w:rsid w:val="00337C52"/>
    <w:rsid w:val="00340685"/>
    <w:rsid w:val="003408F9"/>
    <w:rsid w:val="00340A7C"/>
    <w:rsid w:val="00341763"/>
    <w:rsid w:val="00341820"/>
    <w:rsid w:val="00341D62"/>
    <w:rsid w:val="00342973"/>
    <w:rsid w:val="00342F47"/>
    <w:rsid w:val="0034328C"/>
    <w:rsid w:val="003446EC"/>
    <w:rsid w:val="00344726"/>
    <w:rsid w:val="00344905"/>
    <w:rsid w:val="00345255"/>
    <w:rsid w:val="003455FA"/>
    <w:rsid w:val="00345694"/>
    <w:rsid w:val="0034597A"/>
    <w:rsid w:val="003463EB"/>
    <w:rsid w:val="003464E6"/>
    <w:rsid w:val="00346759"/>
    <w:rsid w:val="0034675F"/>
    <w:rsid w:val="003468E4"/>
    <w:rsid w:val="00346AF5"/>
    <w:rsid w:val="00346DC6"/>
    <w:rsid w:val="0034745E"/>
    <w:rsid w:val="00347AA2"/>
    <w:rsid w:val="00347C74"/>
    <w:rsid w:val="00347FF2"/>
    <w:rsid w:val="0035016D"/>
    <w:rsid w:val="003505A4"/>
    <w:rsid w:val="00350662"/>
    <w:rsid w:val="00350678"/>
    <w:rsid w:val="003508A5"/>
    <w:rsid w:val="00350963"/>
    <w:rsid w:val="00350AF7"/>
    <w:rsid w:val="00350CCC"/>
    <w:rsid w:val="00350E0D"/>
    <w:rsid w:val="003517FA"/>
    <w:rsid w:val="003518F1"/>
    <w:rsid w:val="00351E4E"/>
    <w:rsid w:val="00352189"/>
    <w:rsid w:val="0035271B"/>
    <w:rsid w:val="0035293B"/>
    <w:rsid w:val="00352A74"/>
    <w:rsid w:val="00352D15"/>
    <w:rsid w:val="00352E03"/>
    <w:rsid w:val="00352F27"/>
    <w:rsid w:val="00352F61"/>
    <w:rsid w:val="0035309F"/>
    <w:rsid w:val="003531E2"/>
    <w:rsid w:val="00353537"/>
    <w:rsid w:val="00353C6B"/>
    <w:rsid w:val="003545B2"/>
    <w:rsid w:val="00354608"/>
    <w:rsid w:val="003547DA"/>
    <w:rsid w:val="00354843"/>
    <w:rsid w:val="00354CD7"/>
    <w:rsid w:val="00354F54"/>
    <w:rsid w:val="00354FB0"/>
    <w:rsid w:val="00354FB6"/>
    <w:rsid w:val="00355440"/>
    <w:rsid w:val="003556F5"/>
    <w:rsid w:val="0035594B"/>
    <w:rsid w:val="00355BF0"/>
    <w:rsid w:val="00355F18"/>
    <w:rsid w:val="00355FDA"/>
    <w:rsid w:val="00356C10"/>
    <w:rsid w:val="00356D49"/>
    <w:rsid w:val="003570CA"/>
    <w:rsid w:val="003578FC"/>
    <w:rsid w:val="003579E8"/>
    <w:rsid w:val="00357C1E"/>
    <w:rsid w:val="003607A9"/>
    <w:rsid w:val="00360811"/>
    <w:rsid w:val="003609BD"/>
    <w:rsid w:val="00360BDC"/>
    <w:rsid w:val="00360CC3"/>
    <w:rsid w:val="0036129D"/>
    <w:rsid w:val="00361525"/>
    <w:rsid w:val="00361570"/>
    <w:rsid w:val="003616C6"/>
    <w:rsid w:val="00361741"/>
    <w:rsid w:val="00361789"/>
    <w:rsid w:val="003619AD"/>
    <w:rsid w:val="00361C65"/>
    <w:rsid w:val="00362346"/>
    <w:rsid w:val="003626F2"/>
    <w:rsid w:val="0036273D"/>
    <w:rsid w:val="0036312B"/>
    <w:rsid w:val="003632E2"/>
    <w:rsid w:val="003633A4"/>
    <w:rsid w:val="00363478"/>
    <w:rsid w:val="00363C81"/>
    <w:rsid w:val="00363DA0"/>
    <w:rsid w:val="00363F9C"/>
    <w:rsid w:val="00364198"/>
    <w:rsid w:val="003642AD"/>
    <w:rsid w:val="00364AC9"/>
    <w:rsid w:val="00364BA7"/>
    <w:rsid w:val="00364E52"/>
    <w:rsid w:val="00364E92"/>
    <w:rsid w:val="003651A3"/>
    <w:rsid w:val="003655F7"/>
    <w:rsid w:val="00365695"/>
    <w:rsid w:val="003656E7"/>
    <w:rsid w:val="00365B87"/>
    <w:rsid w:val="00365FB3"/>
    <w:rsid w:val="00366477"/>
    <w:rsid w:val="0036672B"/>
    <w:rsid w:val="00366A87"/>
    <w:rsid w:val="00366AE7"/>
    <w:rsid w:val="00366BED"/>
    <w:rsid w:val="003675A1"/>
    <w:rsid w:val="0037073D"/>
    <w:rsid w:val="003707F8"/>
    <w:rsid w:val="0037094B"/>
    <w:rsid w:val="00370F9D"/>
    <w:rsid w:val="003712D6"/>
    <w:rsid w:val="003714BA"/>
    <w:rsid w:val="003719CF"/>
    <w:rsid w:val="00371C67"/>
    <w:rsid w:val="0037254C"/>
    <w:rsid w:val="00372918"/>
    <w:rsid w:val="0037299D"/>
    <w:rsid w:val="00372A54"/>
    <w:rsid w:val="00372E85"/>
    <w:rsid w:val="00373356"/>
    <w:rsid w:val="00373425"/>
    <w:rsid w:val="0037441F"/>
    <w:rsid w:val="00374475"/>
    <w:rsid w:val="00374A1B"/>
    <w:rsid w:val="00374AE8"/>
    <w:rsid w:val="00374BBA"/>
    <w:rsid w:val="00375131"/>
    <w:rsid w:val="003751AD"/>
    <w:rsid w:val="00375534"/>
    <w:rsid w:val="00375A3C"/>
    <w:rsid w:val="00375A7C"/>
    <w:rsid w:val="00375F65"/>
    <w:rsid w:val="00375FB4"/>
    <w:rsid w:val="00376570"/>
    <w:rsid w:val="00377374"/>
    <w:rsid w:val="0037767A"/>
    <w:rsid w:val="00377946"/>
    <w:rsid w:val="003779C6"/>
    <w:rsid w:val="00377CF6"/>
    <w:rsid w:val="00380655"/>
    <w:rsid w:val="00380A10"/>
    <w:rsid w:val="00380B85"/>
    <w:rsid w:val="00380C29"/>
    <w:rsid w:val="00380CA5"/>
    <w:rsid w:val="00381232"/>
    <w:rsid w:val="0038164C"/>
    <w:rsid w:val="00381AB2"/>
    <w:rsid w:val="00382230"/>
    <w:rsid w:val="00382FCE"/>
    <w:rsid w:val="00383AC9"/>
    <w:rsid w:val="00384189"/>
    <w:rsid w:val="003841CD"/>
    <w:rsid w:val="00385442"/>
    <w:rsid w:val="00385DB7"/>
    <w:rsid w:val="00385F37"/>
    <w:rsid w:val="0038637D"/>
    <w:rsid w:val="00386408"/>
    <w:rsid w:val="003867A5"/>
    <w:rsid w:val="00386A1B"/>
    <w:rsid w:val="00386DF3"/>
    <w:rsid w:val="00386F03"/>
    <w:rsid w:val="003876D2"/>
    <w:rsid w:val="00387BD5"/>
    <w:rsid w:val="00387D00"/>
    <w:rsid w:val="00387E92"/>
    <w:rsid w:val="0039015D"/>
    <w:rsid w:val="00390409"/>
    <w:rsid w:val="003904E8"/>
    <w:rsid w:val="00390711"/>
    <w:rsid w:val="00390BA6"/>
    <w:rsid w:val="00390D45"/>
    <w:rsid w:val="00391436"/>
    <w:rsid w:val="003916FF"/>
    <w:rsid w:val="003918D4"/>
    <w:rsid w:val="00391D71"/>
    <w:rsid w:val="00392680"/>
    <w:rsid w:val="003928EE"/>
    <w:rsid w:val="00392ADB"/>
    <w:rsid w:val="00392CA0"/>
    <w:rsid w:val="0039455C"/>
    <w:rsid w:val="00394E50"/>
    <w:rsid w:val="0039543A"/>
    <w:rsid w:val="003957E7"/>
    <w:rsid w:val="00395930"/>
    <w:rsid w:val="00396028"/>
    <w:rsid w:val="0039623E"/>
    <w:rsid w:val="00396656"/>
    <w:rsid w:val="00396FBD"/>
    <w:rsid w:val="00397A95"/>
    <w:rsid w:val="003A03AC"/>
    <w:rsid w:val="003A0725"/>
    <w:rsid w:val="003A0763"/>
    <w:rsid w:val="003A0AE9"/>
    <w:rsid w:val="003A0C90"/>
    <w:rsid w:val="003A1421"/>
    <w:rsid w:val="003A24F0"/>
    <w:rsid w:val="003A311A"/>
    <w:rsid w:val="003A3A69"/>
    <w:rsid w:val="003A3BF9"/>
    <w:rsid w:val="003A4563"/>
    <w:rsid w:val="003A4BC5"/>
    <w:rsid w:val="003A6A1D"/>
    <w:rsid w:val="003A7011"/>
    <w:rsid w:val="003A70EF"/>
    <w:rsid w:val="003A72FB"/>
    <w:rsid w:val="003A7336"/>
    <w:rsid w:val="003A746E"/>
    <w:rsid w:val="003A7661"/>
    <w:rsid w:val="003A784A"/>
    <w:rsid w:val="003A7D2C"/>
    <w:rsid w:val="003A7EA0"/>
    <w:rsid w:val="003B0BCA"/>
    <w:rsid w:val="003B0FCE"/>
    <w:rsid w:val="003B1595"/>
    <w:rsid w:val="003B1AF3"/>
    <w:rsid w:val="003B1CE2"/>
    <w:rsid w:val="003B243C"/>
    <w:rsid w:val="003B28FA"/>
    <w:rsid w:val="003B2EF0"/>
    <w:rsid w:val="003B312C"/>
    <w:rsid w:val="003B3247"/>
    <w:rsid w:val="003B3324"/>
    <w:rsid w:val="003B363E"/>
    <w:rsid w:val="003B3690"/>
    <w:rsid w:val="003B3D4B"/>
    <w:rsid w:val="003B3DCE"/>
    <w:rsid w:val="003B4275"/>
    <w:rsid w:val="003B42F8"/>
    <w:rsid w:val="003B469C"/>
    <w:rsid w:val="003B486A"/>
    <w:rsid w:val="003B5595"/>
    <w:rsid w:val="003B582E"/>
    <w:rsid w:val="003B5880"/>
    <w:rsid w:val="003B5894"/>
    <w:rsid w:val="003B5AD6"/>
    <w:rsid w:val="003B5B35"/>
    <w:rsid w:val="003B5DF5"/>
    <w:rsid w:val="003B6367"/>
    <w:rsid w:val="003B6A94"/>
    <w:rsid w:val="003B7199"/>
    <w:rsid w:val="003B720D"/>
    <w:rsid w:val="003B7638"/>
    <w:rsid w:val="003B7827"/>
    <w:rsid w:val="003B7C10"/>
    <w:rsid w:val="003B7FBA"/>
    <w:rsid w:val="003C0265"/>
    <w:rsid w:val="003C07C5"/>
    <w:rsid w:val="003C08E8"/>
    <w:rsid w:val="003C0CE7"/>
    <w:rsid w:val="003C1576"/>
    <w:rsid w:val="003C1B4C"/>
    <w:rsid w:val="003C272C"/>
    <w:rsid w:val="003C2B03"/>
    <w:rsid w:val="003C3289"/>
    <w:rsid w:val="003C37AA"/>
    <w:rsid w:val="003C3848"/>
    <w:rsid w:val="003C39F7"/>
    <w:rsid w:val="003C4738"/>
    <w:rsid w:val="003C481B"/>
    <w:rsid w:val="003C4857"/>
    <w:rsid w:val="003C4E08"/>
    <w:rsid w:val="003C578C"/>
    <w:rsid w:val="003C61ED"/>
    <w:rsid w:val="003C6E42"/>
    <w:rsid w:val="003C6F16"/>
    <w:rsid w:val="003C7BA8"/>
    <w:rsid w:val="003C7C97"/>
    <w:rsid w:val="003C7E42"/>
    <w:rsid w:val="003D0071"/>
    <w:rsid w:val="003D00C1"/>
    <w:rsid w:val="003D0145"/>
    <w:rsid w:val="003D0D81"/>
    <w:rsid w:val="003D118C"/>
    <w:rsid w:val="003D1539"/>
    <w:rsid w:val="003D15A9"/>
    <w:rsid w:val="003D1D1E"/>
    <w:rsid w:val="003D1DDA"/>
    <w:rsid w:val="003D1FB4"/>
    <w:rsid w:val="003D21E6"/>
    <w:rsid w:val="003D24CD"/>
    <w:rsid w:val="003D283F"/>
    <w:rsid w:val="003D3683"/>
    <w:rsid w:val="003D3A0E"/>
    <w:rsid w:val="003D3B4B"/>
    <w:rsid w:val="003D454B"/>
    <w:rsid w:val="003D4FF6"/>
    <w:rsid w:val="003D5011"/>
    <w:rsid w:val="003D507D"/>
    <w:rsid w:val="003D5E2B"/>
    <w:rsid w:val="003D6F14"/>
    <w:rsid w:val="003D727F"/>
    <w:rsid w:val="003D73A0"/>
    <w:rsid w:val="003D76E5"/>
    <w:rsid w:val="003E000E"/>
    <w:rsid w:val="003E0362"/>
    <w:rsid w:val="003E05D3"/>
    <w:rsid w:val="003E07BB"/>
    <w:rsid w:val="003E0BD0"/>
    <w:rsid w:val="003E100C"/>
    <w:rsid w:val="003E1270"/>
    <w:rsid w:val="003E14B1"/>
    <w:rsid w:val="003E16CA"/>
    <w:rsid w:val="003E1A4F"/>
    <w:rsid w:val="003E21DB"/>
    <w:rsid w:val="003E22D5"/>
    <w:rsid w:val="003E2486"/>
    <w:rsid w:val="003E267B"/>
    <w:rsid w:val="003E2869"/>
    <w:rsid w:val="003E2DCE"/>
    <w:rsid w:val="003E2E5C"/>
    <w:rsid w:val="003E2ED4"/>
    <w:rsid w:val="003E340B"/>
    <w:rsid w:val="003E3A43"/>
    <w:rsid w:val="003E3C98"/>
    <w:rsid w:val="003E3DC7"/>
    <w:rsid w:val="003E4139"/>
    <w:rsid w:val="003E4503"/>
    <w:rsid w:val="003E4CCA"/>
    <w:rsid w:val="003E4DE2"/>
    <w:rsid w:val="003E5350"/>
    <w:rsid w:val="003E5BE5"/>
    <w:rsid w:val="003E6393"/>
    <w:rsid w:val="003E6883"/>
    <w:rsid w:val="003E689E"/>
    <w:rsid w:val="003E6B54"/>
    <w:rsid w:val="003E7235"/>
    <w:rsid w:val="003E7340"/>
    <w:rsid w:val="003E783D"/>
    <w:rsid w:val="003F0395"/>
    <w:rsid w:val="003F04D4"/>
    <w:rsid w:val="003F0524"/>
    <w:rsid w:val="003F0EBE"/>
    <w:rsid w:val="003F14CB"/>
    <w:rsid w:val="003F1C2F"/>
    <w:rsid w:val="003F1CBF"/>
    <w:rsid w:val="003F1E21"/>
    <w:rsid w:val="003F1FEC"/>
    <w:rsid w:val="003F253A"/>
    <w:rsid w:val="003F3341"/>
    <w:rsid w:val="003F3D65"/>
    <w:rsid w:val="003F3E9F"/>
    <w:rsid w:val="003F43D5"/>
    <w:rsid w:val="003F4515"/>
    <w:rsid w:val="003F4947"/>
    <w:rsid w:val="003F4A85"/>
    <w:rsid w:val="003F4AAF"/>
    <w:rsid w:val="003F4C08"/>
    <w:rsid w:val="003F4CA8"/>
    <w:rsid w:val="003F4F16"/>
    <w:rsid w:val="003F5174"/>
    <w:rsid w:val="003F5212"/>
    <w:rsid w:val="003F544D"/>
    <w:rsid w:val="003F595C"/>
    <w:rsid w:val="003F5AC7"/>
    <w:rsid w:val="003F5F72"/>
    <w:rsid w:val="003F6924"/>
    <w:rsid w:val="003F6B7C"/>
    <w:rsid w:val="003F6DA3"/>
    <w:rsid w:val="003F6E25"/>
    <w:rsid w:val="003F6F58"/>
    <w:rsid w:val="003F70D7"/>
    <w:rsid w:val="003F70DF"/>
    <w:rsid w:val="003F7544"/>
    <w:rsid w:val="003F7919"/>
    <w:rsid w:val="003F79ED"/>
    <w:rsid w:val="003F7AEC"/>
    <w:rsid w:val="003F7D46"/>
    <w:rsid w:val="003F7DC2"/>
    <w:rsid w:val="004005CB"/>
    <w:rsid w:val="00400994"/>
    <w:rsid w:val="00400CE5"/>
    <w:rsid w:val="0040159A"/>
    <w:rsid w:val="00402217"/>
    <w:rsid w:val="0040271A"/>
    <w:rsid w:val="004031CC"/>
    <w:rsid w:val="004035E3"/>
    <w:rsid w:val="004036CB"/>
    <w:rsid w:val="00403A1F"/>
    <w:rsid w:val="00404228"/>
    <w:rsid w:val="00404431"/>
    <w:rsid w:val="00404599"/>
    <w:rsid w:val="004045D3"/>
    <w:rsid w:val="00404703"/>
    <w:rsid w:val="00404A52"/>
    <w:rsid w:val="00405175"/>
    <w:rsid w:val="0040530E"/>
    <w:rsid w:val="004057A3"/>
    <w:rsid w:val="00405A48"/>
    <w:rsid w:val="00405EB2"/>
    <w:rsid w:val="004060F2"/>
    <w:rsid w:val="0040647C"/>
    <w:rsid w:val="004066C5"/>
    <w:rsid w:val="00406BC1"/>
    <w:rsid w:val="00406BDA"/>
    <w:rsid w:val="00406D6F"/>
    <w:rsid w:val="0040721A"/>
    <w:rsid w:val="00407621"/>
    <w:rsid w:val="00407712"/>
    <w:rsid w:val="0040777B"/>
    <w:rsid w:val="00407A36"/>
    <w:rsid w:val="00407C17"/>
    <w:rsid w:val="00407DB3"/>
    <w:rsid w:val="00407F91"/>
    <w:rsid w:val="004101D5"/>
    <w:rsid w:val="00410D22"/>
    <w:rsid w:val="00410FB1"/>
    <w:rsid w:val="00411262"/>
    <w:rsid w:val="0041168C"/>
    <w:rsid w:val="00411945"/>
    <w:rsid w:val="004120ED"/>
    <w:rsid w:val="0041293C"/>
    <w:rsid w:val="00412B2F"/>
    <w:rsid w:val="00412B45"/>
    <w:rsid w:val="004139CF"/>
    <w:rsid w:val="00413CFE"/>
    <w:rsid w:val="00413D7A"/>
    <w:rsid w:val="00413DCC"/>
    <w:rsid w:val="00414BCE"/>
    <w:rsid w:val="00414DAC"/>
    <w:rsid w:val="00415324"/>
    <w:rsid w:val="0041543F"/>
    <w:rsid w:val="004158A3"/>
    <w:rsid w:val="00415A2A"/>
    <w:rsid w:val="00416124"/>
    <w:rsid w:val="004169C0"/>
    <w:rsid w:val="00417774"/>
    <w:rsid w:val="00417874"/>
    <w:rsid w:val="004179EF"/>
    <w:rsid w:val="00417E79"/>
    <w:rsid w:val="00417F4B"/>
    <w:rsid w:val="0042020E"/>
    <w:rsid w:val="0042063A"/>
    <w:rsid w:val="00420C49"/>
    <w:rsid w:val="00420CBA"/>
    <w:rsid w:val="00420CC2"/>
    <w:rsid w:val="004216A9"/>
    <w:rsid w:val="004219F2"/>
    <w:rsid w:val="00421B05"/>
    <w:rsid w:val="00422268"/>
    <w:rsid w:val="00422A68"/>
    <w:rsid w:val="004230BA"/>
    <w:rsid w:val="004233D6"/>
    <w:rsid w:val="004234CE"/>
    <w:rsid w:val="00423DF1"/>
    <w:rsid w:val="00423E76"/>
    <w:rsid w:val="0042426B"/>
    <w:rsid w:val="00424305"/>
    <w:rsid w:val="004243B4"/>
    <w:rsid w:val="00424FA3"/>
    <w:rsid w:val="004254FE"/>
    <w:rsid w:val="004259A6"/>
    <w:rsid w:val="00425F04"/>
    <w:rsid w:val="004260A1"/>
    <w:rsid w:val="0042651E"/>
    <w:rsid w:val="004265A8"/>
    <w:rsid w:val="00426B47"/>
    <w:rsid w:val="00427251"/>
    <w:rsid w:val="00427902"/>
    <w:rsid w:val="004300E3"/>
    <w:rsid w:val="00430156"/>
    <w:rsid w:val="00430338"/>
    <w:rsid w:val="00430B45"/>
    <w:rsid w:val="00430CF1"/>
    <w:rsid w:val="00430E67"/>
    <w:rsid w:val="00430F4B"/>
    <w:rsid w:val="004311CA"/>
    <w:rsid w:val="00431782"/>
    <w:rsid w:val="0043196D"/>
    <w:rsid w:val="00431A26"/>
    <w:rsid w:val="00431CA8"/>
    <w:rsid w:val="00432001"/>
    <w:rsid w:val="00432213"/>
    <w:rsid w:val="00432237"/>
    <w:rsid w:val="004327A7"/>
    <w:rsid w:val="00432CEA"/>
    <w:rsid w:val="00432E10"/>
    <w:rsid w:val="0043309E"/>
    <w:rsid w:val="00433184"/>
    <w:rsid w:val="004333CC"/>
    <w:rsid w:val="004333CD"/>
    <w:rsid w:val="004339C6"/>
    <w:rsid w:val="00433C05"/>
    <w:rsid w:val="004348F1"/>
    <w:rsid w:val="0043495C"/>
    <w:rsid w:val="00434DD0"/>
    <w:rsid w:val="004357DA"/>
    <w:rsid w:val="00435A1C"/>
    <w:rsid w:val="00435D3A"/>
    <w:rsid w:val="00435FE8"/>
    <w:rsid w:val="00436203"/>
    <w:rsid w:val="00436316"/>
    <w:rsid w:val="00436503"/>
    <w:rsid w:val="00437566"/>
    <w:rsid w:val="004376E8"/>
    <w:rsid w:val="00440446"/>
    <w:rsid w:val="00440555"/>
    <w:rsid w:val="0044076A"/>
    <w:rsid w:val="00440A0C"/>
    <w:rsid w:val="00440DE5"/>
    <w:rsid w:val="00440FA5"/>
    <w:rsid w:val="00441EFB"/>
    <w:rsid w:val="00441F92"/>
    <w:rsid w:val="004420CF"/>
    <w:rsid w:val="0044240D"/>
    <w:rsid w:val="00442502"/>
    <w:rsid w:val="00442820"/>
    <w:rsid w:val="00442948"/>
    <w:rsid w:val="00442982"/>
    <w:rsid w:val="00442C56"/>
    <w:rsid w:val="00442D58"/>
    <w:rsid w:val="00442E42"/>
    <w:rsid w:val="004430AD"/>
    <w:rsid w:val="00443B12"/>
    <w:rsid w:val="00443C0A"/>
    <w:rsid w:val="00443D38"/>
    <w:rsid w:val="004444E2"/>
    <w:rsid w:val="00444765"/>
    <w:rsid w:val="00444780"/>
    <w:rsid w:val="00444C08"/>
    <w:rsid w:val="00444E35"/>
    <w:rsid w:val="0044537C"/>
    <w:rsid w:val="00445A6D"/>
    <w:rsid w:val="004460AC"/>
    <w:rsid w:val="004462ED"/>
    <w:rsid w:val="00446409"/>
    <w:rsid w:val="00446A3F"/>
    <w:rsid w:val="00446A52"/>
    <w:rsid w:val="00446E87"/>
    <w:rsid w:val="00447045"/>
    <w:rsid w:val="004474E9"/>
    <w:rsid w:val="00447567"/>
    <w:rsid w:val="00447AB8"/>
    <w:rsid w:val="004508D1"/>
    <w:rsid w:val="00450E16"/>
    <w:rsid w:val="00450EAB"/>
    <w:rsid w:val="00451128"/>
    <w:rsid w:val="00451A58"/>
    <w:rsid w:val="0045235A"/>
    <w:rsid w:val="004529B7"/>
    <w:rsid w:val="00452BB1"/>
    <w:rsid w:val="00452DA0"/>
    <w:rsid w:val="00452E35"/>
    <w:rsid w:val="00453273"/>
    <w:rsid w:val="004534A4"/>
    <w:rsid w:val="00453605"/>
    <w:rsid w:val="00454332"/>
    <w:rsid w:val="00454959"/>
    <w:rsid w:val="00454EE2"/>
    <w:rsid w:val="00455446"/>
    <w:rsid w:val="00455711"/>
    <w:rsid w:val="00456142"/>
    <w:rsid w:val="004563E9"/>
    <w:rsid w:val="0045658C"/>
    <w:rsid w:val="00456AE9"/>
    <w:rsid w:val="00456E03"/>
    <w:rsid w:val="004574B8"/>
    <w:rsid w:val="00457663"/>
    <w:rsid w:val="00457819"/>
    <w:rsid w:val="0046012A"/>
    <w:rsid w:val="00460519"/>
    <w:rsid w:val="00460829"/>
    <w:rsid w:val="00460A33"/>
    <w:rsid w:val="00460C81"/>
    <w:rsid w:val="00461C3F"/>
    <w:rsid w:val="00461FF9"/>
    <w:rsid w:val="0046201C"/>
    <w:rsid w:val="004622CF"/>
    <w:rsid w:val="00462350"/>
    <w:rsid w:val="00462721"/>
    <w:rsid w:val="0046318D"/>
    <w:rsid w:val="00463A12"/>
    <w:rsid w:val="00463D6C"/>
    <w:rsid w:val="00463F78"/>
    <w:rsid w:val="0046485B"/>
    <w:rsid w:val="00464A94"/>
    <w:rsid w:val="00464ED3"/>
    <w:rsid w:val="004651BE"/>
    <w:rsid w:val="0046582E"/>
    <w:rsid w:val="00465862"/>
    <w:rsid w:val="00465F5C"/>
    <w:rsid w:val="004660A2"/>
    <w:rsid w:val="00466161"/>
    <w:rsid w:val="004661B2"/>
    <w:rsid w:val="004668EB"/>
    <w:rsid w:val="004669DD"/>
    <w:rsid w:val="00466ED7"/>
    <w:rsid w:val="004701D3"/>
    <w:rsid w:val="00470AE0"/>
    <w:rsid w:val="00470C16"/>
    <w:rsid w:val="00470C4F"/>
    <w:rsid w:val="0047124F"/>
    <w:rsid w:val="0047140A"/>
    <w:rsid w:val="00471A46"/>
    <w:rsid w:val="00471D5D"/>
    <w:rsid w:val="004723BC"/>
    <w:rsid w:val="004727AE"/>
    <w:rsid w:val="00472F8D"/>
    <w:rsid w:val="00473AB6"/>
    <w:rsid w:val="00474720"/>
    <w:rsid w:val="00474C73"/>
    <w:rsid w:val="00474FC3"/>
    <w:rsid w:val="004750AC"/>
    <w:rsid w:val="00475250"/>
    <w:rsid w:val="00475387"/>
    <w:rsid w:val="00475648"/>
    <w:rsid w:val="00475DF9"/>
    <w:rsid w:val="00476D70"/>
    <w:rsid w:val="0047714F"/>
    <w:rsid w:val="004778E0"/>
    <w:rsid w:val="0048079D"/>
    <w:rsid w:val="00480B35"/>
    <w:rsid w:val="00480C81"/>
    <w:rsid w:val="00481364"/>
    <w:rsid w:val="004813F6"/>
    <w:rsid w:val="00481727"/>
    <w:rsid w:val="00481750"/>
    <w:rsid w:val="004826B6"/>
    <w:rsid w:val="00482737"/>
    <w:rsid w:val="00482EAA"/>
    <w:rsid w:val="0048371B"/>
    <w:rsid w:val="00483A68"/>
    <w:rsid w:val="00483BDE"/>
    <w:rsid w:val="00483D9B"/>
    <w:rsid w:val="004844A2"/>
    <w:rsid w:val="0048459F"/>
    <w:rsid w:val="004848B8"/>
    <w:rsid w:val="00484A30"/>
    <w:rsid w:val="00484B0C"/>
    <w:rsid w:val="00485166"/>
    <w:rsid w:val="004854E3"/>
    <w:rsid w:val="004855F7"/>
    <w:rsid w:val="00485A57"/>
    <w:rsid w:val="0048645F"/>
    <w:rsid w:val="00486F64"/>
    <w:rsid w:val="00487184"/>
    <w:rsid w:val="004871D8"/>
    <w:rsid w:val="0048789B"/>
    <w:rsid w:val="004879A4"/>
    <w:rsid w:val="00487B20"/>
    <w:rsid w:val="004903D3"/>
    <w:rsid w:val="00491069"/>
    <w:rsid w:val="0049109D"/>
    <w:rsid w:val="00491BE8"/>
    <w:rsid w:val="00492B6B"/>
    <w:rsid w:val="00493139"/>
    <w:rsid w:val="00493713"/>
    <w:rsid w:val="00493809"/>
    <w:rsid w:val="00493C99"/>
    <w:rsid w:val="004940EB"/>
    <w:rsid w:val="00494671"/>
    <w:rsid w:val="0049477D"/>
    <w:rsid w:val="004949E9"/>
    <w:rsid w:val="00494E96"/>
    <w:rsid w:val="004956DE"/>
    <w:rsid w:val="00495D7F"/>
    <w:rsid w:val="004960D2"/>
    <w:rsid w:val="00496304"/>
    <w:rsid w:val="004963F3"/>
    <w:rsid w:val="00496469"/>
    <w:rsid w:val="00496A44"/>
    <w:rsid w:val="00496CAA"/>
    <w:rsid w:val="00496FFB"/>
    <w:rsid w:val="0049728B"/>
    <w:rsid w:val="0049764F"/>
    <w:rsid w:val="00497985"/>
    <w:rsid w:val="004A00A8"/>
    <w:rsid w:val="004A0509"/>
    <w:rsid w:val="004A098A"/>
    <w:rsid w:val="004A0B03"/>
    <w:rsid w:val="004A0DC3"/>
    <w:rsid w:val="004A0DFF"/>
    <w:rsid w:val="004A117A"/>
    <w:rsid w:val="004A12BC"/>
    <w:rsid w:val="004A143E"/>
    <w:rsid w:val="004A1725"/>
    <w:rsid w:val="004A1891"/>
    <w:rsid w:val="004A1A3F"/>
    <w:rsid w:val="004A1A7B"/>
    <w:rsid w:val="004A1CA7"/>
    <w:rsid w:val="004A262D"/>
    <w:rsid w:val="004A27BC"/>
    <w:rsid w:val="004A2B46"/>
    <w:rsid w:val="004A2CE7"/>
    <w:rsid w:val="004A3138"/>
    <w:rsid w:val="004A3360"/>
    <w:rsid w:val="004A3476"/>
    <w:rsid w:val="004A347A"/>
    <w:rsid w:val="004A352E"/>
    <w:rsid w:val="004A380F"/>
    <w:rsid w:val="004A390E"/>
    <w:rsid w:val="004A3ACB"/>
    <w:rsid w:val="004A4560"/>
    <w:rsid w:val="004A6831"/>
    <w:rsid w:val="004A6DCD"/>
    <w:rsid w:val="004A6F1B"/>
    <w:rsid w:val="004A6F9B"/>
    <w:rsid w:val="004A716E"/>
    <w:rsid w:val="004A7BD9"/>
    <w:rsid w:val="004A7C38"/>
    <w:rsid w:val="004B0133"/>
    <w:rsid w:val="004B0311"/>
    <w:rsid w:val="004B0585"/>
    <w:rsid w:val="004B060D"/>
    <w:rsid w:val="004B0640"/>
    <w:rsid w:val="004B07D1"/>
    <w:rsid w:val="004B0A07"/>
    <w:rsid w:val="004B163D"/>
    <w:rsid w:val="004B184B"/>
    <w:rsid w:val="004B1982"/>
    <w:rsid w:val="004B1AF7"/>
    <w:rsid w:val="004B1D4D"/>
    <w:rsid w:val="004B20D8"/>
    <w:rsid w:val="004B2A21"/>
    <w:rsid w:val="004B2B07"/>
    <w:rsid w:val="004B2C5C"/>
    <w:rsid w:val="004B3675"/>
    <w:rsid w:val="004B4648"/>
    <w:rsid w:val="004B47BC"/>
    <w:rsid w:val="004B4AA5"/>
    <w:rsid w:val="004B4AF6"/>
    <w:rsid w:val="004B4B22"/>
    <w:rsid w:val="004B4B26"/>
    <w:rsid w:val="004B54E0"/>
    <w:rsid w:val="004B5C17"/>
    <w:rsid w:val="004B5D63"/>
    <w:rsid w:val="004B6179"/>
    <w:rsid w:val="004B67F9"/>
    <w:rsid w:val="004B6B1F"/>
    <w:rsid w:val="004B7206"/>
    <w:rsid w:val="004B72E4"/>
    <w:rsid w:val="004B75FC"/>
    <w:rsid w:val="004B7B10"/>
    <w:rsid w:val="004B7DB1"/>
    <w:rsid w:val="004C0145"/>
    <w:rsid w:val="004C0302"/>
    <w:rsid w:val="004C065A"/>
    <w:rsid w:val="004C09B0"/>
    <w:rsid w:val="004C0C92"/>
    <w:rsid w:val="004C102F"/>
    <w:rsid w:val="004C1834"/>
    <w:rsid w:val="004C1A70"/>
    <w:rsid w:val="004C20D1"/>
    <w:rsid w:val="004C20E2"/>
    <w:rsid w:val="004C2D3E"/>
    <w:rsid w:val="004C2E78"/>
    <w:rsid w:val="004C2EB2"/>
    <w:rsid w:val="004C376D"/>
    <w:rsid w:val="004C37A7"/>
    <w:rsid w:val="004C3ACB"/>
    <w:rsid w:val="004C3CC6"/>
    <w:rsid w:val="004C4190"/>
    <w:rsid w:val="004C46D6"/>
    <w:rsid w:val="004C4968"/>
    <w:rsid w:val="004C49BD"/>
    <w:rsid w:val="004C55B5"/>
    <w:rsid w:val="004C64C3"/>
    <w:rsid w:val="004C6C46"/>
    <w:rsid w:val="004C6ECF"/>
    <w:rsid w:val="004C7381"/>
    <w:rsid w:val="004C7611"/>
    <w:rsid w:val="004C78B5"/>
    <w:rsid w:val="004C79F0"/>
    <w:rsid w:val="004C7B3C"/>
    <w:rsid w:val="004C7C0D"/>
    <w:rsid w:val="004D014D"/>
    <w:rsid w:val="004D03B3"/>
    <w:rsid w:val="004D0475"/>
    <w:rsid w:val="004D0502"/>
    <w:rsid w:val="004D0A96"/>
    <w:rsid w:val="004D105E"/>
    <w:rsid w:val="004D11E9"/>
    <w:rsid w:val="004D1553"/>
    <w:rsid w:val="004D159F"/>
    <w:rsid w:val="004D196B"/>
    <w:rsid w:val="004D1CF9"/>
    <w:rsid w:val="004D211C"/>
    <w:rsid w:val="004D211E"/>
    <w:rsid w:val="004D2171"/>
    <w:rsid w:val="004D28B5"/>
    <w:rsid w:val="004D2EA4"/>
    <w:rsid w:val="004D2FA2"/>
    <w:rsid w:val="004D32EA"/>
    <w:rsid w:val="004D378D"/>
    <w:rsid w:val="004D3868"/>
    <w:rsid w:val="004D3DBA"/>
    <w:rsid w:val="004D403C"/>
    <w:rsid w:val="004D4302"/>
    <w:rsid w:val="004D4736"/>
    <w:rsid w:val="004D4F91"/>
    <w:rsid w:val="004D5009"/>
    <w:rsid w:val="004D5C0D"/>
    <w:rsid w:val="004D62CB"/>
    <w:rsid w:val="004D6545"/>
    <w:rsid w:val="004D6B18"/>
    <w:rsid w:val="004D6CCD"/>
    <w:rsid w:val="004D7839"/>
    <w:rsid w:val="004D78EE"/>
    <w:rsid w:val="004D79B3"/>
    <w:rsid w:val="004D7D80"/>
    <w:rsid w:val="004D7FD0"/>
    <w:rsid w:val="004E0230"/>
    <w:rsid w:val="004E065D"/>
    <w:rsid w:val="004E0917"/>
    <w:rsid w:val="004E100F"/>
    <w:rsid w:val="004E15E3"/>
    <w:rsid w:val="004E1689"/>
    <w:rsid w:val="004E16A6"/>
    <w:rsid w:val="004E17EB"/>
    <w:rsid w:val="004E1911"/>
    <w:rsid w:val="004E19CC"/>
    <w:rsid w:val="004E23A1"/>
    <w:rsid w:val="004E27DE"/>
    <w:rsid w:val="004E2962"/>
    <w:rsid w:val="004E2C03"/>
    <w:rsid w:val="004E3162"/>
    <w:rsid w:val="004E3416"/>
    <w:rsid w:val="004E3E50"/>
    <w:rsid w:val="004E45F5"/>
    <w:rsid w:val="004E4993"/>
    <w:rsid w:val="004E4E4C"/>
    <w:rsid w:val="004E5403"/>
    <w:rsid w:val="004E57AF"/>
    <w:rsid w:val="004E597C"/>
    <w:rsid w:val="004E62AD"/>
    <w:rsid w:val="004E6A97"/>
    <w:rsid w:val="004E6E56"/>
    <w:rsid w:val="004E7D7A"/>
    <w:rsid w:val="004F004B"/>
    <w:rsid w:val="004F0183"/>
    <w:rsid w:val="004F0287"/>
    <w:rsid w:val="004F0EDE"/>
    <w:rsid w:val="004F0FCC"/>
    <w:rsid w:val="004F1B12"/>
    <w:rsid w:val="004F1D9C"/>
    <w:rsid w:val="004F2013"/>
    <w:rsid w:val="004F2110"/>
    <w:rsid w:val="004F245B"/>
    <w:rsid w:val="004F2826"/>
    <w:rsid w:val="004F2D4A"/>
    <w:rsid w:val="004F319D"/>
    <w:rsid w:val="004F31E5"/>
    <w:rsid w:val="004F33EA"/>
    <w:rsid w:val="004F37DF"/>
    <w:rsid w:val="004F386E"/>
    <w:rsid w:val="004F3A5F"/>
    <w:rsid w:val="004F40CD"/>
    <w:rsid w:val="004F46D1"/>
    <w:rsid w:val="004F4908"/>
    <w:rsid w:val="004F5DFF"/>
    <w:rsid w:val="004F63CD"/>
    <w:rsid w:val="004F644E"/>
    <w:rsid w:val="004F6482"/>
    <w:rsid w:val="004F6574"/>
    <w:rsid w:val="004F6971"/>
    <w:rsid w:val="004F69B1"/>
    <w:rsid w:val="004F6BF2"/>
    <w:rsid w:val="004F6CB7"/>
    <w:rsid w:val="004F7269"/>
    <w:rsid w:val="004F763D"/>
    <w:rsid w:val="005001A6"/>
    <w:rsid w:val="00500B35"/>
    <w:rsid w:val="00500DF2"/>
    <w:rsid w:val="005011D9"/>
    <w:rsid w:val="005012C1"/>
    <w:rsid w:val="00501365"/>
    <w:rsid w:val="00501462"/>
    <w:rsid w:val="00501541"/>
    <w:rsid w:val="00501CE1"/>
    <w:rsid w:val="00501E95"/>
    <w:rsid w:val="0050203D"/>
    <w:rsid w:val="00502163"/>
    <w:rsid w:val="00502342"/>
    <w:rsid w:val="00503261"/>
    <w:rsid w:val="00503612"/>
    <w:rsid w:val="00503EA3"/>
    <w:rsid w:val="0050429A"/>
    <w:rsid w:val="005042D5"/>
    <w:rsid w:val="00504EC7"/>
    <w:rsid w:val="005051A3"/>
    <w:rsid w:val="005054A7"/>
    <w:rsid w:val="0050561D"/>
    <w:rsid w:val="005059C6"/>
    <w:rsid w:val="00505B3F"/>
    <w:rsid w:val="00506181"/>
    <w:rsid w:val="00506300"/>
    <w:rsid w:val="005064D7"/>
    <w:rsid w:val="005066D9"/>
    <w:rsid w:val="00506C8F"/>
    <w:rsid w:val="00506D28"/>
    <w:rsid w:val="00506F6E"/>
    <w:rsid w:val="00507023"/>
    <w:rsid w:val="00507129"/>
    <w:rsid w:val="0050789F"/>
    <w:rsid w:val="00507A70"/>
    <w:rsid w:val="00507D99"/>
    <w:rsid w:val="00507FEC"/>
    <w:rsid w:val="005105C2"/>
    <w:rsid w:val="005107F8"/>
    <w:rsid w:val="0051095B"/>
    <w:rsid w:val="00510CAE"/>
    <w:rsid w:val="00510E93"/>
    <w:rsid w:val="00511263"/>
    <w:rsid w:val="0051141D"/>
    <w:rsid w:val="005120F7"/>
    <w:rsid w:val="0051260C"/>
    <w:rsid w:val="005127E5"/>
    <w:rsid w:val="00512A1F"/>
    <w:rsid w:val="00512B03"/>
    <w:rsid w:val="00513838"/>
    <w:rsid w:val="00513BC1"/>
    <w:rsid w:val="00514330"/>
    <w:rsid w:val="005144E2"/>
    <w:rsid w:val="00514D36"/>
    <w:rsid w:val="00514EFC"/>
    <w:rsid w:val="005167CE"/>
    <w:rsid w:val="005167D0"/>
    <w:rsid w:val="00516E93"/>
    <w:rsid w:val="0051740D"/>
    <w:rsid w:val="00517862"/>
    <w:rsid w:val="00517F43"/>
    <w:rsid w:val="00520A3A"/>
    <w:rsid w:val="00520AC1"/>
    <w:rsid w:val="005216D7"/>
    <w:rsid w:val="005217EE"/>
    <w:rsid w:val="005219D8"/>
    <w:rsid w:val="00521DD1"/>
    <w:rsid w:val="00521DF2"/>
    <w:rsid w:val="00521F3E"/>
    <w:rsid w:val="00522BEF"/>
    <w:rsid w:val="00522E67"/>
    <w:rsid w:val="00523383"/>
    <w:rsid w:val="00523806"/>
    <w:rsid w:val="00524609"/>
    <w:rsid w:val="00524708"/>
    <w:rsid w:val="00524825"/>
    <w:rsid w:val="00524DC2"/>
    <w:rsid w:val="00525022"/>
    <w:rsid w:val="0052594F"/>
    <w:rsid w:val="00525BF0"/>
    <w:rsid w:val="00525EBF"/>
    <w:rsid w:val="00526093"/>
    <w:rsid w:val="005260F3"/>
    <w:rsid w:val="00526959"/>
    <w:rsid w:val="00526C12"/>
    <w:rsid w:val="00526DA7"/>
    <w:rsid w:val="00526E7A"/>
    <w:rsid w:val="0052749E"/>
    <w:rsid w:val="00530084"/>
    <w:rsid w:val="005300AC"/>
    <w:rsid w:val="00531702"/>
    <w:rsid w:val="00531979"/>
    <w:rsid w:val="00531E0F"/>
    <w:rsid w:val="00532FB1"/>
    <w:rsid w:val="005331F9"/>
    <w:rsid w:val="0053347D"/>
    <w:rsid w:val="00533A39"/>
    <w:rsid w:val="0053421C"/>
    <w:rsid w:val="00534459"/>
    <w:rsid w:val="005345C8"/>
    <w:rsid w:val="00534ADC"/>
    <w:rsid w:val="00534BE4"/>
    <w:rsid w:val="00534D74"/>
    <w:rsid w:val="00535765"/>
    <w:rsid w:val="00535F2B"/>
    <w:rsid w:val="005360A8"/>
    <w:rsid w:val="005361EC"/>
    <w:rsid w:val="00536450"/>
    <w:rsid w:val="005365D6"/>
    <w:rsid w:val="00536E69"/>
    <w:rsid w:val="00537E11"/>
    <w:rsid w:val="005405A2"/>
    <w:rsid w:val="005409D1"/>
    <w:rsid w:val="00540FE9"/>
    <w:rsid w:val="0054119F"/>
    <w:rsid w:val="005414A0"/>
    <w:rsid w:val="00541718"/>
    <w:rsid w:val="0054181C"/>
    <w:rsid w:val="00541A92"/>
    <w:rsid w:val="00541CCC"/>
    <w:rsid w:val="00541E20"/>
    <w:rsid w:val="0054259F"/>
    <w:rsid w:val="005426F0"/>
    <w:rsid w:val="00542CF9"/>
    <w:rsid w:val="00543135"/>
    <w:rsid w:val="005431EF"/>
    <w:rsid w:val="00543637"/>
    <w:rsid w:val="0054386E"/>
    <w:rsid w:val="00543979"/>
    <w:rsid w:val="00543B3D"/>
    <w:rsid w:val="00543CCC"/>
    <w:rsid w:val="00543D3B"/>
    <w:rsid w:val="00544CFF"/>
    <w:rsid w:val="00544DDD"/>
    <w:rsid w:val="00545AD0"/>
    <w:rsid w:val="0054649E"/>
    <w:rsid w:val="005464CF"/>
    <w:rsid w:val="00547171"/>
    <w:rsid w:val="005471F8"/>
    <w:rsid w:val="005473CB"/>
    <w:rsid w:val="005478AB"/>
    <w:rsid w:val="00547AB8"/>
    <w:rsid w:val="0055006A"/>
    <w:rsid w:val="005505BE"/>
    <w:rsid w:val="00550631"/>
    <w:rsid w:val="005506B3"/>
    <w:rsid w:val="00550B67"/>
    <w:rsid w:val="00550BFA"/>
    <w:rsid w:val="00550C0F"/>
    <w:rsid w:val="00550CF7"/>
    <w:rsid w:val="00551039"/>
    <w:rsid w:val="005513B0"/>
    <w:rsid w:val="00551428"/>
    <w:rsid w:val="00552047"/>
    <w:rsid w:val="005527A6"/>
    <w:rsid w:val="005528BD"/>
    <w:rsid w:val="00552B98"/>
    <w:rsid w:val="00553414"/>
    <w:rsid w:val="00553678"/>
    <w:rsid w:val="00554288"/>
    <w:rsid w:val="00554326"/>
    <w:rsid w:val="00554631"/>
    <w:rsid w:val="0055463D"/>
    <w:rsid w:val="00555682"/>
    <w:rsid w:val="00555E23"/>
    <w:rsid w:val="0055618F"/>
    <w:rsid w:val="005563BA"/>
    <w:rsid w:val="00556D2F"/>
    <w:rsid w:val="005575A9"/>
    <w:rsid w:val="00560810"/>
    <w:rsid w:val="00560BCD"/>
    <w:rsid w:val="00560CE8"/>
    <w:rsid w:val="00560E07"/>
    <w:rsid w:val="00561405"/>
    <w:rsid w:val="00561B0E"/>
    <w:rsid w:val="00561C54"/>
    <w:rsid w:val="00561D1E"/>
    <w:rsid w:val="005624C6"/>
    <w:rsid w:val="005635B7"/>
    <w:rsid w:val="00563601"/>
    <w:rsid w:val="00563D57"/>
    <w:rsid w:val="0056431A"/>
    <w:rsid w:val="0056462C"/>
    <w:rsid w:val="00564E45"/>
    <w:rsid w:val="00564FBC"/>
    <w:rsid w:val="00565612"/>
    <w:rsid w:val="00565AEB"/>
    <w:rsid w:val="00565EFB"/>
    <w:rsid w:val="00565F49"/>
    <w:rsid w:val="0056606B"/>
    <w:rsid w:val="005663D8"/>
    <w:rsid w:val="005665A5"/>
    <w:rsid w:val="00567146"/>
    <w:rsid w:val="00567BE0"/>
    <w:rsid w:val="00567F54"/>
    <w:rsid w:val="005703D6"/>
    <w:rsid w:val="00570618"/>
    <w:rsid w:val="00570670"/>
    <w:rsid w:val="00570A67"/>
    <w:rsid w:val="00570AC4"/>
    <w:rsid w:val="00570D71"/>
    <w:rsid w:val="00570EB3"/>
    <w:rsid w:val="00571A58"/>
    <w:rsid w:val="00571FD5"/>
    <w:rsid w:val="005722ED"/>
    <w:rsid w:val="005726ED"/>
    <w:rsid w:val="005727F0"/>
    <w:rsid w:val="00572AFC"/>
    <w:rsid w:val="00573327"/>
    <w:rsid w:val="005735D4"/>
    <w:rsid w:val="0057399C"/>
    <w:rsid w:val="005739C3"/>
    <w:rsid w:val="00573C89"/>
    <w:rsid w:val="00573D71"/>
    <w:rsid w:val="00574049"/>
    <w:rsid w:val="005744C2"/>
    <w:rsid w:val="0057467F"/>
    <w:rsid w:val="005747ED"/>
    <w:rsid w:val="00574D7C"/>
    <w:rsid w:val="00575273"/>
    <w:rsid w:val="00575638"/>
    <w:rsid w:val="00575760"/>
    <w:rsid w:val="00575790"/>
    <w:rsid w:val="00575855"/>
    <w:rsid w:val="00575890"/>
    <w:rsid w:val="00575AA8"/>
    <w:rsid w:val="00575EF6"/>
    <w:rsid w:val="0057625F"/>
    <w:rsid w:val="005766F1"/>
    <w:rsid w:val="00576984"/>
    <w:rsid w:val="005769C9"/>
    <w:rsid w:val="00576AAC"/>
    <w:rsid w:val="00576D1B"/>
    <w:rsid w:val="00576D82"/>
    <w:rsid w:val="00576E50"/>
    <w:rsid w:val="005773CA"/>
    <w:rsid w:val="0057742E"/>
    <w:rsid w:val="00577CC9"/>
    <w:rsid w:val="0058012A"/>
    <w:rsid w:val="005804E9"/>
    <w:rsid w:val="005809D1"/>
    <w:rsid w:val="00580C0C"/>
    <w:rsid w:val="00580E55"/>
    <w:rsid w:val="005810F1"/>
    <w:rsid w:val="005811CE"/>
    <w:rsid w:val="0058159F"/>
    <w:rsid w:val="00581600"/>
    <w:rsid w:val="005816EF"/>
    <w:rsid w:val="005816F6"/>
    <w:rsid w:val="005828D1"/>
    <w:rsid w:val="00582AAB"/>
    <w:rsid w:val="00582D40"/>
    <w:rsid w:val="0058300D"/>
    <w:rsid w:val="005831CB"/>
    <w:rsid w:val="00583C2C"/>
    <w:rsid w:val="0058418A"/>
    <w:rsid w:val="00584365"/>
    <w:rsid w:val="00584383"/>
    <w:rsid w:val="005845F7"/>
    <w:rsid w:val="00584626"/>
    <w:rsid w:val="00584AB2"/>
    <w:rsid w:val="00584DFD"/>
    <w:rsid w:val="0058503D"/>
    <w:rsid w:val="005852F8"/>
    <w:rsid w:val="0058580B"/>
    <w:rsid w:val="00585A5F"/>
    <w:rsid w:val="00585F1A"/>
    <w:rsid w:val="005862E9"/>
    <w:rsid w:val="00586347"/>
    <w:rsid w:val="005863D7"/>
    <w:rsid w:val="00586473"/>
    <w:rsid w:val="00586660"/>
    <w:rsid w:val="00586DCF"/>
    <w:rsid w:val="00586E7B"/>
    <w:rsid w:val="00587197"/>
    <w:rsid w:val="00587230"/>
    <w:rsid w:val="00587B6B"/>
    <w:rsid w:val="0059026A"/>
    <w:rsid w:val="00590305"/>
    <w:rsid w:val="0059051B"/>
    <w:rsid w:val="0059100E"/>
    <w:rsid w:val="005910C8"/>
    <w:rsid w:val="0059137B"/>
    <w:rsid w:val="00591437"/>
    <w:rsid w:val="0059143F"/>
    <w:rsid w:val="0059179B"/>
    <w:rsid w:val="00591A9A"/>
    <w:rsid w:val="0059213E"/>
    <w:rsid w:val="00592234"/>
    <w:rsid w:val="0059281D"/>
    <w:rsid w:val="00592DAF"/>
    <w:rsid w:val="00592DC0"/>
    <w:rsid w:val="00593669"/>
    <w:rsid w:val="00593C5A"/>
    <w:rsid w:val="00593D13"/>
    <w:rsid w:val="00594B48"/>
    <w:rsid w:val="00594B8D"/>
    <w:rsid w:val="00594E23"/>
    <w:rsid w:val="00595226"/>
    <w:rsid w:val="0059547D"/>
    <w:rsid w:val="005955EB"/>
    <w:rsid w:val="005959EF"/>
    <w:rsid w:val="00595A97"/>
    <w:rsid w:val="00595B79"/>
    <w:rsid w:val="00595D8C"/>
    <w:rsid w:val="00595DB2"/>
    <w:rsid w:val="0059674A"/>
    <w:rsid w:val="00596D00"/>
    <w:rsid w:val="00596EF2"/>
    <w:rsid w:val="00597614"/>
    <w:rsid w:val="00597712"/>
    <w:rsid w:val="00597868"/>
    <w:rsid w:val="00597A12"/>
    <w:rsid w:val="005A037D"/>
    <w:rsid w:val="005A058C"/>
    <w:rsid w:val="005A064C"/>
    <w:rsid w:val="005A0A55"/>
    <w:rsid w:val="005A0BA2"/>
    <w:rsid w:val="005A0BDE"/>
    <w:rsid w:val="005A0C12"/>
    <w:rsid w:val="005A1129"/>
    <w:rsid w:val="005A12D5"/>
    <w:rsid w:val="005A199F"/>
    <w:rsid w:val="005A1A66"/>
    <w:rsid w:val="005A21E6"/>
    <w:rsid w:val="005A24A1"/>
    <w:rsid w:val="005A25ED"/>
    <w:rsid w:val="005A2C5A"/>
    <w:rsid w:val="005A30B5"/>
    <w:rsid w:val="005A4183"/>
    <w:rsid w:val="005A41B4"/>
    <w:rsid w:val="005A44F7"/>
    <w:rsid w:val="005A450F"/>
    <w:rsid w:val="005A4800"/>
    <w:rsid w:val="005A4A42"/>
    <w:rsid w:val="005A55AD"/>
    <w:rsid w:val="005A5B64"/>
    <w:rsid w:val="005A6014"/>
    <w:rsid w:val="005A64AE"/>
    <w:rsid w:val="005A6B81"/>
    <w:rsid w:val="005A76B5"/>
    <w:rsid w:val="005A7784"/>
    <w:rsid w:val="005A7BB3"/>
    <w:rsid w:val="005A7C22"/>
    <w:rsid w:val="005B04FC"/>
    <w:rsid w:val="005B05B9"/>
    <w:rsid w:val="005B0A39"/>
    <w:rsid w:val="005B2655"/>
    <w:rsid w:val="005B2D86"/>
    <w:rsid w:val="005B2F24"/>
    <w:rsid w:val="005B3265"/>
    <w:rsid w:val="005B3E97"/>
    <w:rsid w:val="005B40D3"/>
    <w:rsid w:val="005B4B73"/>
    <w:rsid w:val="005B4C53"/>
    <w:rsid w:val="005B4C6E"/>
    <w:rsid w:val="005B4EEB"/>
    <w:rsid w:val="005B52C7"/>
    <w:rsid w:val="005B57ED"/>
    <w:rsid w:val="005B64C6"/>
    <w:rsid w:val="005B6A42"/>
    <w:rsid w:val="005B6D21"/>
    <w:rsid w:val="005B6FE7"/>
    <w:rsid w:val="005B714B"/>
    <w:rsid w:val="005B734D"/>
    <w:rsid w:val="005B751F"/>
    <w:rsid w:val="005B799C"/>
    <w:rsid w:val="005B7A1F"/>
    <w:rsid w:val="005B7AC3"/>
    <w:rsid w:val="005B7BB9"/>
    <w:rsid w:val="005B7CA2"/>
    <w:rsid w:val="005B7D51"/>
    <w:rsid w:val="005C0094"/>
    <w:rsid w:val="005C02BB"/>
    <w:rsid w:val="005C07CB"/>
    <w:rsid w:val="005C0839"/>
    <w:rsid w:val="005C0ABB"/>
    <w:rsid w:val="005C0FAC"/>
    <w:rsid w:val="005C1C36"/>
    <w:rsid w:val="005C23F0"/>
    <w:rsid w:val="005C2705"/>
    <w:rsid w:val="005C289B"/>
    <w:rsid w:val="005C2D22"/>
    <w:rsid w:val="005C39ED"/>
    <w:rsid w:val="005C3BE3"/>
    <w:rsid w:val="005C3EB5"/>
    <w:rsid w:val="005C3EDF"/>
    <w:rsid w:val="005C48B4"/>
    <w:rsid w:val="005C50F7"/>
    <w:rsid w:val="005C57AB"/>
    <w:rsid w:val="005C5891"/>
    <w:rsid w:val="005C5C0B"/>
    <w:rsid w:val="005C5FE8"/>
    <w:rsid w:val="005C6216"/>
    <w:rsid w:val="005C71DB"/>
    <w:rsid w:val="005C7271"/>
    <w:rsid w:val="005C770D"/>
    <w:rsid w:val="005C77A0"/>
    <w:rsid w:val="005C7FC4"/>
    <w:rsid w:val="005D005A"/>
    <w:rsid w:val="005D023E"/>
    <w:rsid w:val="005D05FE"/>
    <w:rsid w:val="005D10AD"/>
    <w:rsid w:val="005D1CDB"/>
    <w:rsid w:val="005D1F33"/>
    <w:rsid w:val="005D230E"/>
    <w:rsid w:val="005D23FB"/>
    <w:rsid w:val="005D25FC"/>
    <w:rsid w:val="005D2AD5"/>
    <w:rsid w:val="005D2EE3"/>
    <w:rsid w:val="005D33CD"/>
    <w:rsid w:val="005D3916"/>
    <w:rsid w:val="005D450E"/>
    <w:rsid w:val="005D498F"/>
    <w:rsid w:val="005D55A2"/>
    <w:rsid w:val="005D5861"/>
    <w:rsid w:val="005D5BC2"/>
    <w:rsid w:val="005D5CFE"/>
    <w:rsid w:val="005D5F8F"/>
    <w:rsid w:val="005D60E8"/>
    <w:rsid w:val="005D6E09"/>
    <w:rsid w:val="005D6F44"/>
    <w:rsid w:val="005D7488"/>
    <w:rsid w:val="005D771C"/>
    <w:rsid w:val="005D7A0C"/>
    <w:rsid w:val="005D7D42"/>
    <w:rsid w:val="005E02E1"/>
    <w:rsid w:val="005E040C"/>
    <w:rsid w:val="005E065A"/>
    <w:rsid w:val="005E0805"/>
    <w:rsid w:val="005E0F35"/>
    <w:rsid w:val="005E1022"/>
    <w:rsid w:val="005E137B"/>
    <w:rsid w:val="005E13F2"/>
    <w:rsid w:val="005E1652"/>
    <w:rsid w:val="005E2846"/>
    <w:rsid w:val="005E31C1"/>
    <w:rsid w:val="005E3782"/>
    <w:rsid w:val="005E39FB"/>
    <w:rsid w:val="005E4361"/>
    <w:rsid w:val="005E4493"/>
    <w:rsid w:val="005E456F"/>
    <w:rsid w:val="005E46AD"/>
    <w:rsid w:val="005E479D"/>
    <w:rsid w:val="005E4A05"/>
    <w:rsid w:val="005E4E6F"/>
    <w:rsid w:val="005E4F7B"/>
    <w:rsid w:val="005E5941"/>
    <w:rsid w:val="005E5C6B"/>
    <w:rsid w:val="005E5EC1"/>
    <w:rsid w:val="005E5FBE"/>
    <w:rsid w:val="005E6537"/>
    <w:rsid w:val="005E693F"/>
    <w:rsid w:val="005E69FD"/>
    <w:rsid w:val="005E718E"/>
    <w:rsid w:val="005E759A"/>
    <w:rsid w:val="005E7B7F"/>
    <w:rsid w:val="005F000D"/>
    <w:rsid w:val="005F0372"/>
    <w:rsid w:val="005F074F"/>
    <w:rsid w:val="005F083C"/>
    <w:rsid w:val="005F0CA5"/>
    <w:rsid w:val="005F1185"/>
    <w:rsid w:val="005F126E"/>
    <w:rsid w:val="005F271C"/>
    <w:rsid w:val="005F275F"/>
    <w:rsid w:val="005F277A"/>
    <w:rsid w:val="005F297D"/>
    <w:rsid w:val="005F32D5"/>
    <w:rsid w:val="005F3579"/>
    <w:rsid w:val="005F364F"/>
    <w:rsid w:val="005F3742"/>
    <w:rsid w:val="005F3CC4"/>
    <w:rsid w:val="005F42CD"/>
    <w:rsid w:val="005F4A72"/>
    <w:rsid w:val="005F5BFE"/>
    <w:rsid w:val="005F6C2D"/>
    <w:rsid w:val="005F6C93"/>
    <w:rsid w:val="005F6F19"/>
    <w:rsid w:val="005F7365"/>
    <w:rsid w:val="005F73D6"/>
    <w:rsid w:val="005F7AFA"/>
    <w:rsid w:val="0060027C"/>
    <w:rsid w:val="0060056D"/>
    <w:rsid w:val="006006FE"/>
    <w:rsid w:val="00600749"/>
    <w:rsid w:val="00600ADB"/>
    <w:rsid w:val="00600AF2"/>
    <w:rsid w:val="00600BE6"/>
    <w:rsid w:val="00600E4F"/>
    <w:rsid w:val="00600FF5"/>
    <w:rsid w:val="0060109E"/>
    <w:rsid w:val="00601478"/>
    <w:rsid w:val="00601566"/>
    <w:rsid w:val="00601BB8"/>
    <w:rsid w:val="00601F8C"/>
    <w:rsid w:val="006024A9"/>
    <w:rsid w:val="006030A7"/>
    <w:rsid w:val="00603681"/>
    <w:rsid w:val="00603683"/>
    <w:rsid w:val="00603D36"/>
    <w:rsid w:val="00603EE8"/>
    <w:rsid w:val="0060410D"/>
    <w:rsid w:val="00604433"/>
    <w:rsid w:val="00604A86"/>
    <w:rsid w:val="00604E71"/>
    <w:rsid w:val="00604F37"/>
    <w:rsid w:val="00605B17"/>
    <w:rsid w:val="0060741E"/>
    <w:rsid w:val="006075E8"/>
    <w:rsid w:val="00607620"/>
    <w:rsid w:val="006077F2"/>
    <w:rsid w:val="00607C19"/>
    <w:rsid w:val="00610207"/>
    <w:rsid w:val="006104F2"/>
    <w:rsid w:val="0061135B"/>
    <w:rsid w:val="0061187F"/>
    <w:rsid w:val="00611D3E"/>
    <w:rsid w:val="00611D6B"/>
    <w:rsid w:val="00612057"/>
    <w:rsid w:val="0061216A"/>
    <w:rsid w:val="00612418"/>
    <w:rsid w:val="00612705"/>
    <w:rsid w:val="00612808"/>
    <w:rsid w:val="006128C8"/>
    <w:rsid w:val="00613350"/>
    <w:rsid w:val="0061357A"/>
    <w:rsid w:val="00614422"/>
    <w:rsid w:val="00614D4C"/>
    <w:rsid w:val="006157BA"/>
    <w:rsid w:val="006162D6"/>
    <w:rsid w:val="00616616"/>
    <w:rsid w:val="006166C0"/>
    <w:rsid w:val="00616A90"/>
    <w:rsid w:val="00616DDE"/>
    <w:rsid w:val="006171D2"/>
    <w:rsid w:val="0061775E"/>
    <w:rsid w:val="006200A2"/>
    <w:rsid w:val="0062071F"/>
    <w:rsid w:val="00620CBB"/>
    <w:rsid w:val="00621591"/>
    <w:rsid w:val="00621796"/>
    <w:rsid w:val="006218BD"/>
    <w:rsid w:val="00621BCA"/>
    <w:rsid w:val="00621F80"/>
    <w:rsid w:val="00622249"/>
    <w:rsid w:val="00622718"/>
    <w:rsid w:val="00622D35"/>
    <w:rsid w:val="00622D66"/>
    <w:rsid w:val="00622E0C"/>
    <w:rsid w:val="006232AF"/>
    <w:rsid w:val="0062356D"/>
    <w:rsid w:val="0062411C"/>
    <w:rsid w:val="006245CE"/>
    <w:rsid w:val="006249BD"/>
    <w:rsid w:val="00624C81"/>
    <w:rsid w:val="006252DF"/>
    <w:rsid w:val="00625456"/>
    <w:rsid w:val="00625626"/>
    <w:rsid w:val="0062615D"/>
    <w:rsid w:val="006267C6"/>
    <w:rsid w:val="0062683D"/>
    <w:rsid w:val="00626A9E"/>
    <w:rsid w:val="00626AC4"/>
    <w:rsid w:val="00626D30"/>
    <w:rsid w:val="00626D6B"/>
    <w:rsid w:val="00626ED0"/>
    <w:rsid w:val="00627583"/>
    <w:rsid w:val="00627719"/>
    <w:rsid w:val="00627A1A"/>
    <w:rsid w:val="00627F63"/>
    <w:rsid w:val="006304BF"/>
    <w:rsid w:val="00630E38"/>
    <w:rsid w:val="00630FA3"/>
    <w:rsid w:val="00630FEA"/>
    <w:rsid w:val="0063107B"/>
    <w:rsid w:val="0063137A"/>
    <w:rsid w:val="00632277"/>
    <w:rsid w:val="006323B9"/>
    <w:rsid w:val="00632D2C"/>
    <w:rsid w:val="00633014"/>
    <w:rsid w:val="00633B85"/>
    <w:rsid w:val="00633BE0"/>
    <w:rsid w:val="0063446A"/>
    <w:rsid w:val="00635AEE"/>
    <w:rsid w:val="00635B53"/>
    <w:rsid w:val="006361E6"/>
    <w:rsid w:val="00636479"/>
    <w:rsid w:val="0063688A"/>
    <w:rsid w:val="00636B8B"/>
    <w:rsid w:val="00636EF1"/>
    <w:rsid w:val="00636FEE"/>
    <w:rsid w:val="00637059"/>
    <w:rsid w:val="0063718B"/>
    <w:rsid w:val="006372AA"/>
    <w:rsid w:val="006373E3"/>
    <w:rsid w:val="00637B5E"/>
    <w:rsid w:val="00637C91"/>
    <w:rsid w:val="00640529"/>
    <w:rsid w:val="006405DA"/>
    <w:rsid w:val="006405DE"/>
    <w:rsid w:val="00640B9C"/>
    <w:rsid w:val="00640C8E"/>
    <w:rsid w:val="00640E62"/>
    <w:rsid w:val="00641039"/>
    <w:rsid w:val="00641C04"/>
    <w:rsid w:val="006424D9"/>
    <w:rsid w:val="00642512"/>
    <w:rsid w:val="006426A9"/>
    <w:rsid w:val="00642765"/>
    <w:rsid w:val="006428C9"/>
    <w:rsid w:val="00642FFD"/>
    <w:rsid w:val="00643265"/>
    <w:rsid w:val="00643362"/>
    <w:rsid w:val="00643F39"/>
    <w:rsid w:val="00644318"/>
    <w:rsid w:val="00644510"/>
    <w:rsid w:val="006445FD"/>
    <w:rsid w:val="0064495D"/>
    <w:rsid w:val="00644FCE"/>
    <w:rsid w:val="0064502A"/>
    <w:rsid w:val="006453A4"/>
    <w:rsid w:val="00645B13"/>
    <w:rsid w:val="00645B1E"/>
    <w:rsid w:val="00645D32"/>
    <w:rsid w:val="006468C8"/>
    <w:rsid w:val="006469E0"/>
    <w:rsid w:val="00646A51"/>
    <w:rsid w:val="0064770C"/>
    <w:rsid w:val="00647BB2"/>
    <w:rsid w:val="00650467"/>
    <w:rsid w:val="00650802"/>
    <w:rsid w:val="00650B4C"/>
    <w:rsid w:val="00650D58"/>
    <w:rsid w:val="00651004"/>
    <w:rsid w:val="006519D5"/>
    <w:rsid w:val="00651B43"/>
    <w:rsid w:val="006529C8"/>
    <w:rsid w:val="00652F3B"/>
    <w:rsid w:val="006530DB"/>
    <w:rsid w:val="0065338F"/>
    <w:rsid w:val="0065356C"/>
    <w:rsid w:val="00653A8B"/>
    <w:rsid w:val="00653D9B"/>
    <w:rsid w:val="00654262"/>
    <w:rsid w:val="00654416"/>
    <w:rsid w:val="00654515"/>
    <w:rsid w:val="0065491F"/>
    <w:rsid w:val="00654A2C"/>
    <w:rsid w:val="0065512E"/>
    <w:rsid w:val="006561BA"/>
    <w:rsid w:val="00656FF2"/>
    <w:rsid w:val="00657135"/>
    <w:rsid w:val="006575A1"/>
    <w:rsid w:val="0065769B"/>
    <w:rsid w:val="00657CE7"/>
    <w:rsid w:val="00657FA5"/>
    <w:rsid w:val="0066018B"/>
    <w:rsid w:val="006606C4"/>
    <w:rsid w:val="00660BBA"/>
    <w:rsid w:val="0066186E"/>
    <w:rsid w:val="00662228"/>
    <w:rsid w:val="0066234C"/>
    <w:rsid w:val="00662352"/>
    <w:rsid w:val="0066295B"/>
    <w:rsid w:val="00662ECB"/>
    <w:rsid w:val="0066338A"/>
    <w:rsid w:val="0066496D"/>
    <w:rsid w:val="00664E65"/>
    <w:rsid w:val="0066551A"/>
    <w:rsid w:val="006656C8"/>
    <w:rsid w:val="006658BC"/>
    <w:rsid w:val="00665E0B"/>
    <w:rsid w:val="006662AC"/>
    <w:rsid w:val="0066633A"/>
    <w:rsid w:val="0066666E"/>
    <w:rsid w:val="00666A2A"/>
    <w:rsid w:val="00666D7F"/>
    <w:rsid w:val="00667056"/>
    <w:rsid w:val="00667063"/>
    <w:rsid w:val="00667C75"/>
    <w:rsid w:val="006701BA"/>
    <w:rsid w:val="0067051D"/>
    <w:rsid w:val="00670612"/>
    <w:rsid w:val="006706DB"/>
    <w:rsid w:val="00670901"/>
    <w:rsid w:val="00670949"/>
    <w:rsid w:val="006709C4"/>
    <w:rsid w:val="00670C16"/>
    <w:rsid w:val="006712DC"/>
    <w:rsid w:val="0067170D"/>
    <w:rsid w:val="00671CC9"/>
    <w:rsid w:val="00671D63"/>
    <w:rsid w:val="006723E8"/>
    <w:rsid w:val="0067258B"/>
    <w:rsid w:val="0067269F"/>
    <w:rsid w:val="0067284C"/>
    <w:rsid w:val="00672953"/>
    <w:rsid w:val="00672AEA"/>
    <w:rsid w:val="00672CD3"/>
    <w:rsid w:val="00673217"/>
    <w:rsid w:val="00673A26"/>
    <w:rsid w:val="00673DA3"/>
    <w:rsid w:val="0067498B"/>
    <w:rsid w:val="006749F9"/>
    <w:rsid w:val="00674D13"/>
    <w:rsid w:val="00675123"/>
    <w:rsid w:val="006751AE"/>
    <w:rsid w:val="006753A7"/>
    <w:rsid w:val="0067650E"/>
    <w:rsid w:val="00677A7D"/>
    <w:rsid w:val="00677E40"/>
    <w:rsid w:val="00680162"/>
    <w:rsid w:val="00680307"/>
    <w:rsid w:val="0068095B"/>
    <w:rsid w:val="00681A87"/>
    <w:rsid w:val="00681B15"/>
    <w:rsid w:val="00681B47"/>
    <w:rsid w:val="00681C23"/>
    <w:rsid w:val="00682348"/>
    <w:rsid w:val="00682437"/>
    <w:rsid w:val="00682624"/>
    <w:rsid w:val="00682987"/>
    <w:rsid w:val="00682C79"/>
    <w:rsid w:val="006830F5"/>
    <w:rsid w:val="0068361F"/>
    <w:rsid w:val="00683E3F"/>
    <w:rsid w:val="00684621"/>
    <w:rsid w:val="00684F81"/>
    <w:rsid w:val="00685C50"/>
    <w:rsid w:val="00686202"/>
    <w:rsid w:val="006863DC"/>
    <w:rsid w:val="006864F4"/>
    <w:rsid w:val="00687062"/>
    <w:rsid w:val="00687175"/>
    <w:rsid w:val="00687437"/>
    <w:rsid w:val="00687B28"/>
    <w:rsid w:val="00687DE7"/>
    <w:rsid w:val="00690042"/>
    <w:rsid w:val="00691030"/>
    <w:rsid w:val="006910D0"/>
    <w:rsid w:val="00691236"/>
    <w:rsid w:val="0069146C"/>
    <w:rsid w:val="0069196B"/>
    <w:rsid w:val="00691C1F"/>
    <w:rsid w:val="00692192"/>
    <w:rsid w:val="00692406"/>
    <w:rsid w:val="00692692"/>
    <w:rsid w:val="006933B8"/>
    <w:rsid w:val="00694128"/>
    <w:rsid w:val="006941F0"/>
    <w:rsid w:val="006956BF"/>
    <w:rsid w:val="00695ECB"/>
    <w:rsid w:val="00696432"/>
    <w:rsid w:val="00696603"/>
    <w:rsid w:val="00696934"/>
    <w:rsid w:val="00696A44"/>
    <w:rsid w:val="00696DFC"/>
    <w:rsid w:val="0069751D"/>
    <w:rsid w:val="00697780"/>
    <w:rsid w:val="00697D51"/>
    <w:rsid w:val="006A0EFB"/>
    <w:rsid w:val="006A1139"/>
    <w:rsid w:val="006A2668"/>
    <w:rsid w:val="006A27AC"/>
    <w:rsid w:val="006A2941"/>
    <w:rsid w:val="006A2A1F"/>
    <w:rsid w:val="006A31A7"/>
    <w:rsid w:val="006A3580"/>
    <w:rsid w:val="006A3678"/>
    <w:rsid w:val="006A4218"/>
    <w:rsid w:val="006A43C9"/>
    <w:rsid w:val="006A4746"/>
    <w:rsid w:val="006A4A53"/>
    <w:rsid w:val="006A4BFF"/>
    <w:rsid w:val="006A584E"/>
    <w:rsid w:val="006A5FD6"/>
    <w:rsid w:val="006A6761"/>
    <w:rsid w:val="006A7243"/>
    <w:rsid w:val="006A7527"/>
    <w:rsid w:val="006A773D"/>
    <w:rsid w:val="006A7A82"/>
    <w:rsid w:val="006A7B37"/>
    <w:rsid w:val="006A7BAF"/>
    <w:rsid w:val="006A7D9B"/>
    <w:rsid w:val="006B026E"/>
    <w:rsid w:val="006B0417"/>
    <w:rsid w:val="006B0E9C"/>
    <w:rsid w:val="006B0F40"/>
    <w:rsid w:val="006B10F9"/>
    <w:rsid w:val="006B1227"/>
    <w:rsid w:val="006B1A23"/>
    <w:rsid w:val="006B1C84"/>
    <w:rsid w:val="006B1CF5"/>
    <w:rsid w:val="006B22C8"/>
    <w:rsid w:val="006B2478"/>
    <w:rsid w:val="006B25C5"/>
    <w:rsid w:val="006B2821"/>
    <w:rsid w:val="006B28CB"/>
    <w:rsid w:val="006B290D"/>
    <w:rsid w:val="006B2AFA"/>
    <w:rsid w:val="006B2B3E"/>
    <w:rsid w:val="006B304C"/>
    <w:rsid w:val="006B30F9"/>
    <w:rsid w:val="006B33F1"/>
    <w:rsid w:val="006B35BD"/>
    <w:rsid w:val="006B3790"/>
    <w:rsid w:val="006B38E2"/>
    <w:rsid w:val="006B4089"/>
    <w:rsid w:val="006B4592"/>
    <w:rsid w:val="006B483B"/>
    <w:rsid w:val="006B4A17"/>
    <w:rsid w:val="006B4AEC"/>
    <w:rsid w:val="006B4BAA"/>
    <w:rsid w:val="006B4BCD"/>
    <w:rsid w:val="006B4F3B"/>
    <w:rsid w:val="006B549C"/>
    <w:rsid w:val="006B5C50"/>
    <w:rsid w:val="006B5C85"/>
    <w:rsid w:val="006B6E96"/>
    <w:rsid w:val="006B7345"/>
    <w:rsid w:val="006B73D2"/>
    <w:rsid w:val="006B77CC"/>
    <w:rsid w:val="006B7A61"/>
    <w:rsid w:val="006C0BB7"/>
    <w:rsid w:val="006C0FA1"/>
    <w:rsid w:val="006C1071"/>
    <w:rsid w:val="006C1427"/>
    <w:rsid w:val="006C1AC3"/>
    <w:rsid w:val="006C1ED2"/>
    <w:rsid w:val="006C213E"/>
    <w:rsid w:val="006C2185"/>
    <w:rsid w:val="006C2195"/>
    <w:rsid w:val="006C25D4"/>
    <w:rsid w:val="006C2C9D"/>
    <w:rsid w:val="006C3346"/>
    <w:rsid w:val="006C35CC"/>
    <w:rsid w:val="006C4573"/>
    <w:rsid w:val="006C4D0F"/>
    <w:rsid w:val="006C509B"/>
    <w:rsid w:val="006C5156"/>
    <w:rsid w:val="006C5224"/>
    <w:rsid w:val="006C5409"/>
    <w:rsid w:val="006C5DCB"/>
    <w:rsid w:val="006C6F13"/>
    <w:rsid w:val="006C7AC9"/>
    <w:rsid w:val="006C7B61"/>
    <w:rsid w:val="006D09F5"/>
    <w:rsid w:val="006D0E7D"/>
    <w:rsid w:val="006D0F28"/>
    <w:rsid w:val="006D10C9"/>
    <w:rsid w:val="006D1A11"/>
    <w:rsid w:val="006D1C15"/>
    <w:rsid w:val="006D1DF7"/>
    <w:rsid w:val="006D1FEC"/>
    <w:rsid w:val="006D2116"/>
    <w:rsid w:val="006D2341"/>
    <w:rsid w:val="006D2A32"/>
    <w:rsid w:val="006D2A3F"/>
    <w:rsid w:val="006D2B23"/>
    <w:rsid w:val="006D2BBE"/>
    <w:rsid w:val="006D3299"/>
    <w:rsid w:val="006D3432"/>
    <w:rsid w:val="006D3673"/>
    <w:rsid w:val="006D39F0"/>
    <w:rsid w:val="006D403A"/>
    <w:rsid w:val="006D4153"/>
    <w:rsid w:val="006D417B"/>
    <w:rsid w:val="006D44DA"/>
    <w:rsid w:val="006D4DCB"/>
    <w:rsid w:val="006D4E8C"/>
    <w:rsid w:val="006D555A"/>
    <w:rsid w:val="006D5B1D"/>
    <w:rsid w:val="006D6410"/>
    <w:rsid w:val="006D6652"/>
    <w:rsid w:val="006D6C6E"/>
    <w:rsid w:val="006D714C"/>
    <w:rsid w:val="006D7559"/>
    <w:rsid w:val="006D7974"/>
    <w:rsid w:val="006D7E35"/>
    <w:rsid w:val="006D7F01"/>
    <w:rsid w:val="006E07FA"/>
    <w:rsid w:val="006E0819"/>
    <w:rsid w:val="006E0A31"/>
    <w:rsid w:val="006E1206"/>
    <w:rsid w:val="006E162B"/>
    <w:rsid w:val="006E2176"/>
    <w:rsid w:val="006E27DA"/>
    <w:rsid w:val="006E2A7D"/>
    <w:rsid w:val="006E2A8A"/>
    <w:rsid w:val="006E2B94"/>
    <w:rsid w:val="006E310B"/>
    <w:rsid w:val="006E332A"/>
    <w:rsid w:val="006E3770"/>
    <w:rsid w:val="006E38FD"/>
    <w:rsid w:val="006E3D85"/>
    <w:rsid w:val="006E3E4A"/>
    <w:rsid w:val="006E4443"/>
    <w:rsid w:val="006E49E4"/>
    <w:rsid w:val="006E4B22"/>
    <w:rsid w:val="006E50BA"/>
    <w:rsid w:val="006E513C"/>
    <w:rsid w:val="006E5248"/>
    <w:rsid w:val="006E538F"/>
    <w:rsid w:val="006E5AA5"/>
    <w:rsid w:val="006E66AC"/>
    <w:rsid w:val="006E6733"/>
    <w:rsid w:val="006E6814"/>
    <w:rsid w:val="006E69BF"/>
    <w:rsid w:val="006E6A25"/>
    <w:rsid w:val="006E6BDE"/>
    <w:rsid w:val="006E7860"/>
    <w:rsid w:val="006E789C"/>
    <w:rsid w:val="006E7E2B"/>
    <w:rsid w:val="006F0060"/>
    <w:rsid w:val="006F066E"/>
    <w:rsid w:val="006F0A20"/>
    <w:rsid w:val="006F0F5E"/>
    <w:rsid w:val="006F121C"/>
    <w:rsid w:val="006F137C"/>
    <w:rsid w:val="006F13BF"/>
    <w:rsid w:val="006F187D"/>
    <w:rsid w:val="006F2092"/>
    <w:rsid w:val="006F2455"/>
    <w:rsid w:val="006F2B9E"/>
    <w:rsid w:val="006F2D4B"/>
    <w:rsid w:val="006F2E95"/>
    <w:rsid w:val="006F33CB"/>
    <w:rsid w:val="006F3779"/>
    <w:rsid w:val="006F3783"/>
    <w:rsid w:val="006F48C2"/>
    <w:rsid w:val="006F4B47"/>
    <w:rsid w:val="006F4E11"/>
    <w:rsid w:val="006F56CE"/>
    <w:rsid w:val="006F580F"/>
    <w:rsid w:val="006F582B"/>
    <w:rsid w:val="006F5BBC"/>
    <w:rsid w:val="006F6125"/>
    <w:rsid w:val="006F62A2"/>
    <w:rsid w:val="006F62B1"/>
    <w:rsid w:val="006F6C38"/>
    <w:rsid w:val="006F6C90"/>
    <w:rsid w:val="006F6FC0"/>
    <w:rsid w:val="006F703A"/>
    <w:rsid w:val="006F7253"/>
    <w:rsid w:val="006F75C4"/>
    <w:rsid w:val="006F7D8B"/>
    <w:rsid w:val="0070009C"/>
    <w:rsid w:val="0070033F"/>
    <w:rsid w:val="0070037B"/>
    <w:rsid w:val="00700459"/>
    <w:rsid w:val="007004D5"/>
    <w:rsid w:val="00701819"/>
    <w:rsid w:val="00701ECB"/>
    <w:rsid w:val="00702018"/>
    <w:rsid w:val="00702239"/>
    <w:rsid w:val="007026F6"/>
    <w:rsid w:val="0070354B"/>
    <w:rsid w:val="00703A21"/>
    <w:rsid w:val="00703D06"/>
    <w:rsid w:val="007041B5"/>
    <w:rsid w:val="00704485"/>
    <w:rsid w:val="00704694"/>
    <w:rsid w:val="00704B18"/>
    <w:rsid w:val="00704C9C"/>
    <w:rsid w:val="007051F5"/>
    <w:rsid w:val="007057EA"/>
    <w:rsid w:val="00706080"/>
    <w:rsid w:val="007063DB"/>
    <w:rsid w:val="00707138"/>
    <w:rsid w:val="00707665"/>
    <w:rsid w:val="00707974"/>
    <w:rsid w:val="00707E04"/>
    <w:rsid w:val="00707E40"/>
    <w:rsid w:val="0071096B"/>
    <w:rsid w:val="00710D52"/>
    <w:rsid w:val="00710E8C"/>
    <w:rsid w:val="00711425"/>
    <w:rsid w:val="007119A4"/>
    <w:rsid w:val="00711F1B"/>
    <w:rsid w:val="00711FAF"/>
    <w:rsid w:val="00712B15"/>
    <w:rsid w:val="00712E99"/>
    <w:rsid w:val="00712F91"/>
    <w:rsid w:val="00713153"/>
    <w:rsid w:val="00713354"/>
    <w:rsid w:val="007135D0"/>
    <w:rsid w:val="007139AF"/>
    <w:rsid w:val="00713B94"/>
    <w:rsid w:val="00713C6A"/>
    <w:rsid w:val="00713C98"/>
    <w:rsid w:val="0071407A"/>
    <w:rsid w:val="007141FB"/>
    <w:rsid w:val="00714447"/>
    <w:rsid w:val="00714DDE"/>
    <w:rsid w:val="00715014"/>
    <w:rsid w:val="00715B79"/>
    <w:rsid w:val="00715C58"/>
    <w:rsid w:val="00715E60"/>
    <w:rsid w:val="00716979"/>
    <w:rsid w:val="007171A4"/>
    <w:rsid w:val="007173DD"/>
    <w:rsid w:val="0071745A"/>
    <w:rsid w:val="007178B8"/>
    <w:rsid w:val="00717C96"/>
    <w:rsid w:val="00717F7F"/>
    <w:rsid w:val="0072065F"/>
    <w:rsid w:val="00720F70"/>
    <w:rsid w:val="00721459"/>
    <w:rsid w:val="00721BF8"/>
    <w:rsid w:val="00722339"/>
    <w:rsid w:val="00722B59"/>
    <w:rsid w:val="00722D56"/>
    <w:rsid w:val="00722D8F"/>
    <w:rsid w:val="00723063"/>
    <w:rsid w:val="007231D1"/>
    <w:rsid w:val="00723637"/>
    <w:rsid w:val="00723C4D"/>
    <w:rsid w:val="00724661"/>
    <w:rsid w:val="00724820"/>
    <w:rsid w:val="00724A70"/>
    <w:rsid w:val="00725112"/>
    <w:rsid w:val="0072513F"/>
    <w:rsid w:val="00726023"/>
    <w:rsid w:val="007262E5"/>
    <w:rsid w:val="00726556"/>
    <w:rsid w:val="0072684D"/>
    <w:rsid w:val="00726958"/>
    <w:rsid w:val="00726F55"/>
    <w:rsid w:val="0072767C"/>
    <w:rsid w:val="00727950"/>
    <w:rsid w:val="00727E53"/>
    <w:rsid w:val="007306FA"/>
    <w:rsid w:val="00731A81"/>
    <w:rsid w:val="00731B43"/>
    <w:rsid w:val="00732074"/>
    <w:rsid w:val="0073225C"/>
    <w:rsid w:val="007323ED"/>
    <w:rsid w:val="0073247F"/>
    <w:rsid w:val="00732505"/>
    <w:rsid w:val="00732D1F"/>
    <w:rsid w:val="00732E53"/>
    <w:rsid w:val="00733256"/>
    <w:rsid w:val="00733291"/>
    <w:rsid w:val="00733A1B"/>
    <w:rsid w:val="00733ED1"/>
    <w:rsid w:val="007340E2"/>
    <w:rsid w:val="00734135"/>
    <w:rsid w:val="00734450"/>
    <w:rsid w:val="007345BA"/>
    <w:rsid w:val="00735B0F"/>
    <w:rsid w:val="00735BD0"/>
    <w:rsid w:val="00735C39"/>
    <w:rsid w:val="00736661"/>
    <w:rsid w:val="00736B74"/>
    <w:rsid w:val="00736C0B"/>
    <w:rsid w:val="0073716B"/>
    <w:rsid w:val="00737217"/>
    <w:rsid w:val="0073790D"/>
    <w:rsid w:val="0074030E"/>
    <w:rsid w:val="00740462"/>
    <w:rsid w:val="00740464"/>
    <w:rsid w:val="00740508"/>
    <w:rsid w:val="0074081C"/>
    <w:rsid w:val="00740C37"/>
    <w:rsid w:val="00741422"/>
    <w:rsid w:val="00741823"/>
    <w:rsid w:val="007418F3"/>
    <w:rsid w:val="00742012"/>
    <w:rsid w:val="00743058"/>
    <w:rsid w:val="0074310D"/>
    <w:rsid w:val="00743381"/>
    <w:rsid w:val="00743A3F"/>
    <w:rsid w:val="00743AB4"/>
    <w:rsid w:val="007440BB"/>
    <w:rsid w:val="00744831"/>
    <w:rsid w:val="00744E62"/>
    <w:rsid w:val="00744F07"/>
    <w:rsid w:val="00744F46"/>
    <w:rsid w:val="007450D8"/>
    <w:rsid w:val="007454E2"/>
    <w:rsid w:val="0074615F"/>
    <w:rsid w:val="007466E6"/>
    <w:rsid w:val="00746C23"/>
    <w:rsid w:val="0074735B"/>
    <w:rsid w:val="00750081"/>
    <w:rsid w:val="007504B2"/>
    <w:rsid w:val="0075087D"/>
    <w:rsid w:val="007513F0"/>
    <w:rsid w:val="007513FE"/>
    <w:rsid w:val="00752332"/>
    <w:rsid w:val="0075256D"/>
    <w:rsid w:val="007528AA"/>
    <w:rsid w:val="00753095"/>
    <w:rsid w:val="007531B9"/>
    <w:rsid w:val="007532E2"/>
    <w:rsid w:val="00753548"/>
    <w:rsid w:val="00753A0F"/>
    <w:rsid w:val="00753EEE"/>
    <w:rsid w:val="0075431A"/>
    <w:rsid w:val="007543C5"/>
    <w:rsid w:val="007547FD"/>
    <w:rsid w:val="00754C15"/>
    <w:rsid w:val="007552FC"/>
    <w:rsid w:val="0075578A"/>
    <w:rsid w:val="0075623D"/>
    <w:rsid w:val="00756428"/>
    <w:rsid w:val="007570D4"/>
    <w:rsid w:val="007571B2"/>
    <w:rsid w:val="00757433"/>
    <w:rsid w:val="0075749C"/>
    <w:rsid w:val="00757AA6"/>
    <w:rsid w:val="00757B9F"/>
    <w:rsid w:val="00757D12"/>
    <w:rsid w:val="00757D43"/>
    <w:rsid w:val="00760572"/>
    <w:rsid w:val="00760865"/>
    <w:rsid w:val="00760A99"/>
    <w:rsid w:val="00760E32"/>
    <w:rsid w:val="00761686"/>
    <w:rsid w:val="007617B5"/>
    <w:rsid w:val="00761977"/>
    <w:rsid w:val="00761A2C"/>
    <w:rsid w:val="00762054"/>
    <w:rsid w:val="007622EA"/>
    <w:rsid w:val="00762377"/>
    <w:rsid w:val="00762B89"/>
    <w:rsid w:val="0076300E"/>
    <w:rsid w:val="007635DB"/>
    <w:rsid w:val="007637CE"/>
    <w:rsid w:val="007638D8"/>
    <w:rsid w:val="0076396F"/>
    <w:rsid w:val="0076467E"/>
    <w:rsid w:val="007648EA"/>
    <w:rsid w:val="007657A6"/>
    <w:rsid w:val="007667FB"/>
    <w:rsid w:val="00766C66"/>
    <w:rsid w:val="007674C1"/>
    <w:rsid w:val="007676A9"/>
    <w:rsid w:val="00767952"/>
    <w:rsid w:val="00767BD6"/>
    <w:rsid w:val="00767D6A"/>
    <w:rsid w:val="007708D2"/>
    <w:rsid w:val="007708E7"/>
    <w:rsid w:val="00770EA3"/>
    <w:rsid w:val="007711CD"/>
    <w:rsid w:val="007712AC"/>
    <w:rsid w:val="00771361"/>
    <w:rsid w:val="00771D3D"/>
    <w:rsid w:val="00772396"/>
    <w:rsid w:val="0077268B"/>
    <w:rsid w:val="007728EB"/>
    <w:rsid w:val="007729A0"/>
    <w:rsid w:val="00773224"/>
    <w:rsid w:val="00773286"/>
    <w:rsid w:val="007732CF"/>
    <w:rsid w:val="007733CB"/>
    <w:rsid w:val="00773551"/>
    <w:rsid w:val="007738FB"/>
    <w:rsid w:val="00773B29"/>
    <w:rsid w:val="00773C32"/>
    <w:rsid w:val="00774051"/>
    <w:rsid w:val="007749CF"/>
    <w:rsid w:val="00774BC0"/>
    <w:rsid w:val="00774D68"/>
    <w:rsid w:val="007750CA"/>
    <w:rsid w:val="00775416"/>
    <w:rsid w:val="00775694"/>
    <w:rsid w:val="0077597F"/>
    <w:rsid w:val="00775B9B"/>
    <w:rsid w:val="00775BAD"/>
    <w:rsid w:val="00775F73"/>
    <w:rsid w:val="00776076"/>
    <w:rsid w:val="0077647B"/>
    <w:rsid w:val="00776F16"/>
    <w:rsid w:val="007773B0"/>
    <w:rsid w:val="0077790E"/>
    <w:rsid w:val="00777E9E"/>
    <w:rsid w:val="00780968"/>
    <w:rsid w:val="007810E4"/>
    <w:rsid w:val="007816CE"/>
    <w:rsid w:val="007818C9"/>
    <w:rsid w:val="00781A34"/>
    <w:rsid w:val="00781A45"/>
    <w:rsid w:val="00781A80"/>
    <w:rsid w:val="00781B10"/>
    <w:rsid w:val="00781B49"/>
    <w:rsid w:val="00781C28"/>
    <w:rsid w:val="00781FFA"/>
    <w:rsid w:val="007823FE"/>
    <w:rsid w:val="00782535"/>
    <w:rsid w:val="00782B2A"/>
    <w:rsid w:val="00782C4E"/>
    <w:rsid w:val="00782DDF"/>
    <w:rsid w:val="0078356D"/>
    <w:rsid w:val="007836B4"/>
    <w:rsid w:val="00783721"/>
    <w:rsid w:val="00783722"/>
    <w:rsid w:val="00783824"/>
    <w:rsid w:val="007838A4"/>
    <w:rsid w:val="00783AC6"/>
    <w:rsid w:val="00783B87"/>
    <w:rsid w:val="00784290"/>
    <w:rsid w:val="007842F6"/>
    <w:rsid w:val="007845A2"/>
    <w:rsid w:val="007852B5"/>
    <w:rsid w:val="0078597A"/>
    <w:rsid w:val="00785A1E"/>
    <w:rsid w:val="00785D34"/>
    <w:rsid w:val="0078643D"/>
    <w:rsid w:val="007868D7"/>
    <w:rsid w:val="0078697D"/>
    <w:rsid w:val="00786BA2"/>
    <w:rsid w:val="0078714C"/>
    <w:rsid w:val="0078722D"/>
    <w:rsid w:val="007874AB"/>
    <w:rsid w:val="00787B4D"/>
    <w:rsid w:val="00790520"/>
    <w:rsid w:val="007906DA"/>
    <w:rsid w:val="00790A32"/>
    <w:rsid w:val="00790CD1"/>
    <w:rsid w:val="00791746"/>
    <w:rsid w:val="00791BF6"/>
    <w:rsid w:val="00791C47"/>
    <w:rsid w:val="00791F0C"/>
    <w:rsid w:val="00791FB6"/>
    <w:rsid w:val="007924FA"/>
    <w:rsid w:val="00793F02"/>
    <w:rsid w:val="0079415B"/>
    <w:rsid w:val="00794846"/>
    <w:rsid w:val="00794AAA"/>
    <w:rsid w:val="00794C66"/>
    <w:rsid w:val="007954FB"/>
    <w:rsid w:val="00795858"/>
    <w:rsid w:val="007958C2"/>
    <w:rsid w:val="007962E6"/>
    <w:rsid w:val="00796525"/>
    <w:rsid w:val="00796BE1"/>
    <w:rsid w:val="00796C87"/>
    <w:rsid w:val="0079708C"/>
    <w:rsid w:val="007977F0"/>
    <w:rsid w:val="00797A3C"/>
    <w:rsid w:val="00797F1A"/>
    <w:rsid w:val="007A08AE"/>
    <w:rsid w:val="007A0E5E"/>
    <w:rsid w:val="007A1088"/>
    <w:rsid w:val="007A12E5"/>
    <w:rsid w:val="007A1955"/>
    <w:rsid w:val="007A19BE"/>
    <w:rsid w:val="007A1C66"/>
    <w:rsid w:val="007A1E21"/>
    <w:rsid w:val="007A22EF"/>
    <w:rsid w:val="007A2391"/>
    <w:rsid w:val="007A319F"/>
    <w:rsid w:val="007A3A0E"/>
    <w:rsid w:val="007A3B57"/>
    <w:rsid w:val="007A3B90"/>
    <w:rsid w:val="007A3BE2"/>
    <w:rsid w:val="007A3C31"/>
    <w:rsid w:val="007A4AC9"/>
    <w:rsid w:val="007A4C6D"/>
    <w:rsid w:val="007A4C75"/>
    <w:rsid w:val="007A4E11"/>
    <w:rsid w:val="007A4F68"/>
    <w:rsid w:val="007A52D9"/>
    <w:rsid w:val="007A57BF"/>
    <w:rsid w:val="007A5FD1"/>
    <w:rsid w:val="007A6040"/>
    <w:rsid w:val="007A60B8"/>
    <w:rsid w:val="007A61AE"/>
    <w:rsid w:val="007A66EB"/>
    <w:rsid w:val="007A69E1"/>
    <w:rsid w:val="007A6E81"/>
    <w:rsid w:val="007A76BA"/>
    <w:rsid w:val="007A7B23"/>
    <w:rsid w:val="007A7EEE"/>
    <w:rsid w:val="007A7F3E"/>
    <w:rsid w:val="007B0057"/>
    <w:rsid w:val="007B0278"/>
    <w:rsid w:val="007B02E9"/>
    <w:rsid w:val="007B0331"/>
    <w:rsid w:val="007B03D7"/>
    <w:rsid w:val="007B07F8"/>
    <w:rsid w:val="007B0ABA"/>
    <w:rsid w:val="007B0E5D"/>
    <w:rsid w:val="007B0F31"/>
    <w:rsid w:val="007B0F9C"/>
    <w:rsid w:val="007B1178"/>
    <w:rsid w:val="007B12C4"/>
    <w:rsid w:val="007B1404"/>
    <w:rsid w:val="007B17EF"/>
    <w:rsid w:val="007B1A88"/>
    <w:rsid w:val="007B1C19"/>
    <w:rsid w:val="007B20B5"/>
    <w:rsid w:val="007B2260"/>
    <w:rsid w:val="007B31F6"/>
    <w:rsid w:val="007B32B0"/>
    <w:rsid w:val="007B330E"/>
    <w:rsid w:val="007B37A3"/>
    <w:rsid w:val="007B3E2E"/>
    <w:rsid w:val="007B3E87"/>
    <w:rsid w:val="007B4585"/>
    <w:rsid w:val="007B45DC"/>
    <w:rsid w:val="007B4A64"/>
    <w:rsid w:val="007B4BC1"/>
    <w:rsid w:val="007B4DAA"/>
    <w:rsid w:val="007B4E1B"/>
    <w:rsid w:val="007B4E83"/>
    <w:rsid w:val="007B5007"/>
    <w:rsid w:val="007B519F"/>
    <w:rsid w:val="007B541E"/>
    <w:rsid w:val="007B5C30"/>
    <w:rsid w:val="007B6034"/>
    <w:rsid w:val="007B64FE"/>
    <w:rsid w:val="007B71E9"/>
    <w:rsid w:val="007B72C8"/>
    <w:rsid w:val="007B77F0"/>
    <w:rsid w:val="007B7C1A"/>
    <w:rsid w:val="007C076C"/>
    <w:rsid w:val="007C0B2C"/>
    <w:rsid w:val="007C109B"/>
    <w:rsid w:val="007C1AAA"/>
    <w:rsid w:val="007C2714"/>
    <w:rsid w:val="007C2EB4"/>
    <w:rsid w:val="007C30EA"/>
    <w:rsid w:val="007C343C"/>
    <w:rsid w:val="007C3714"/>
    <w:rsid w:val="007C3CEA"/>
    <w:rsid w:val="007C3E4E"/>
    <w:rsid w:val="007C3ED7"/>
    <w:rsid w:val="007C41A0"/>
    <w:rsid w:val="007C44DD"/>
    <w:rsid w:val="007C4ACF"/>
    <w:rsid w:val="007C5CAD"/>
    <w:rsid w:val="007C5EF7"/>
    <w:rsid w:val="007C613E"/>
    <w:rsid w:val="007C6246"/>
    <w:rsid w:val="007C6463"/>
    <w:rsid w:val="007C6866"/>
    <w:rsid w:val="007C6E5A"/>
    <w:rsid w:val="007C7264"/>
    <w:rsid w:val="007C7939"/>
    <w:rsid w:val="007C7B04"/>
    <w:rsid w:val="007C7C19"/>
    <w:rsid w:val="007C7C26"/>
    <w:rsid w:val="007D09AE"/>
    <w:rsid w:val="007D123E"/>
    <w:rsid w:val="007D1503"/>
    <w:rsid w:val="007D1A40"/>
    <w:rsid w:val="007D1EFC"/>
    <w:rsid w:val="007D1F66"/>
    <w:rsid w:val="007D21CF"/>
    <w:rsid w:val="007D2364"/>
    <w:rsid w:val="007D2FF1"/>
    <w:rsid w:val="007D3B68"/>
    <w:rsid w:val="007D3F4C"/>
    <w:rsid w:val="007D45FF"/>
    <w:rsid w:val="007D4A2D"/>
    <w:rsid w:val="007D4CFA"/>
    <w:rsid w:val="007D5800"/>
    <w:rsid w:val="007D580F"/>
    <w:rsid w:val="007D62C8"/>
    <w:rsid w:val="007D72DB"/>
    <w:rsid w:val="007D7784"/>
    <w:rsid w:val="007D7D17"/>
    <w:rsid w:val="007E0175"/>
    <w:rsid w:val="007E05D7"/>
    <w:rsid w:val="007E05DB"/>
    <w:rsid w:val="007E06CA"/>
    <w:rsid w:val="007E0775"/>
    <w:rsid w:val="007E0858"/>
    <w:rsid w:val="007E0D45"/>
    <w:rsid w:val="007E0FDD"/>
    <w:rsid w:val="007E114A"/>
    <w:rsid w:val="007E16EC"/>
    <w:rsid w:val="007E1912"/>
    <w:rsid w:val="007E191D"/>
    <w:rsid w:val="007E1C23"/>
    <w:rsid w:val="007E1C3E"/>
    <w:rsid w:val="007E1CDF"/>
    <w:rsid w:val="007E20BF"/>
    <w:rsid w:val="007E24AA"/>
    <w:rsid w:val="007E2C1F"/>
    <w:rsid w:val="007E2DAA"/>
    <w:rsid w:val="007E375B"/>
    <w:rsid w:val="007E3B87"/>
    <w:rsid w:val="007E3CD2"/>
    <w:rsid w:val="007E43A9"/>
    <w:rsid w:val="007E4CDA"/>
    <w:rsid w:val="007E51BD"/>
    <w:rsid w:val="007E536B"/>
    <w:rsid w:val="007E55E7"/>
    <w:rsid w:val="007E5D09"/>
    <w:rsid w:val="007E62C6"/>
    <w:rsid w:val="007E6534"/>
    <w:rsid w:val="007E6704"/>
    <w:rsid w:val="007E714D"/>
    <w:rsid w:val="007E7241"/>
    <w:rsid w:val="007E7D80"/>
    <w:rsid w:val="007F0820"/>
    <w:rsid w:val="007F089E"/>
    <w:rsid w:val="007F0B86"/>
    <w:rsid w:val="007F1692"/>
    <w:rsid w:val="007F176D"/>
    <w:rsid w:val="007F2256"/>
    <w:rsid w:val="007F2786"/>
    <w:rsid w:val="007F27C4"/>
    <w:rsid w:val="007F298A"/>
    <w:rsid w:val="007F35BE"/>
    <w:rsid w:val="007F3929"/>
    <w:rsid w:val="007F41F9"/>
    <w:rsid w:val="007F4D28"/>
    <w:rsid w:val="007F5353"/>
    <w:rsid w:val="007F5CA7"/>
    <w:rsid w:val="007F6C24"/>
    <w:rsid w:val="007F6F31"/>
    <w:rsid w:val="007F712B"/>
    <w:rsid w:val="007F72BE"/>
    <w:rsid w:val="007F74DB"/>
    <w:rsid w:val="007F7755"/>
    <w:rsid w:val="00800726"/>
    <w:rsid w:val="00800766"/>
    <w:rsid w:val="00800AFA"/>
    <w:rsid w:val="00800D8C"/>
    <w:rsid w:val="008018DD"/>
    <w:rsid w:val="00801FF1"/>
    <w:rsid w:val="00802699"/>
    <w:rsid w:val="00802BEE"/>
    <w:rsid w:val="008034DB"/>
    <w:rsid w:val="008036AA"/>
    <w:rsid w:val="0080374E"/>
    <w:rsid w:val="00803A92"/>
    <w:rsid w:val="00803AAB"/>
    <w:rsid w:val="00803E32"/>
    <w:rsid w:val="00803F69"/>
    <w:rsid w:val="00804754"/>
    <w:rsid w:val="00804ACC"/>
    <w:rsid w:val="00804DC7"/>
    <w:rsid w:val="00804DDF"/>
    <w:rsid w:val="00804FD1"/>
    <w:rsid w:val="00805110"/>
    <w:rsid w:val="0080535D"/>
    <w:rsid w:val="00805745"/>
    <w:rsid w:val="008058C7"/>
    <w:rsid w:val="00805E66"/>
    <w:rsid w:val="008060E8"/>
    <w:rsid w:val="00806588"/>
    <w:rsid w:val="008066C2"/>
    <w:rsid w:val="00806790"/>
    <w:rsid w:val="00806B64"/>
    <w:rsid w:val="00806DCB"/>
    <w:rsid w:val="008071E9"/>
    <w:rsid w:val="008072F7"/>
    <w:rsid w:val="00807A1B"/>
    <w:rsid w:val="00807B2C"/>
    <w:rsid w:val="00810196"/>
    <w:rsid w:val="00810392"/>
    <w:rsid w:val="008104C9"/>
    <w:rsid w:val="00810742"/>
    <w:rsid w:val="00810996"/>
    <w:rsid w:val="00810B9F"/>
    <w:rsid w:val="00811268"/>
    <w:rsid w:val="008115E0"/>
    <w:rsid w:val="00811765"/>
    <w:rsid w:val="008123EE"/>
    <w:rsid w:val="008127CA"/>
    <w:rsid w:val="0081284D"/>
    <w:rsid w:val="008129C4"/>
    <w:rsid w:val="00812E52"/>
    <w:rsid w:val="00812FA8"/>
    <w:rsid w:val="008138DF"/>
    <w:rsid w:val="00813978"/>
    <w:rsid w:val="00814727"/>
    <w:rsid w:val="00814FD3"/>
    <w:rsid w:val="00815A17"/>
    <w:rsid w:val="00816695"/>
    <w:rsid w:val="0081679B"/>
    <w:rsid w:val="008179A2"/>
    <w:rsid w:val="0082001C"/>
    <w:rsid w:val="00820355"/>
    <w:rsid w:val="00820362"/>
    <w:rsid w:val="0082043B"/>
    <w:rsid w:val="008207A9"/>
    <w:rsid w:val="00820A05"/>
    <w:rsid w:val="0082128B"/>
    <w:rsid w:val="008212EE"/>
    <w:rsid w:val="00821370"/>
    <w:rsid w:val="008213BB"/>
    <w:rsid w:val="00821547"/>
    <w:rsid w:val="0082174C"/>
    <w:rsid w:val="0082191B"/>
    <w:rsid w:val="00821ACD"/>
    <w:rsid w:val="008221CE"/>
    <w:rsid w:val="008230A9"/>
    <w:rsid w:val="008230ED"/>
    <w:rsid w:val="008232BC"/>
    <w:rsid w:val="00823386"/>
    <w:rsid w:val="00823A78"/>
    <w:rsid w:val="00823CC1"/>
    <w:rsid w:val="00823EC0"/>
    <w:rsid w:val="008244FC"/>
    <w:rsid w:val="008248A8"/>
    <w:rsid w:val="00824B3E"/>
    <w:rsid w:val="00824CEF"/>
    <w:rsid w:val="00824D29"/>
    <w:rsid w:val="00825846"/>
    <w:rsid w:val="00825BF9"/>
    <w:rsid w:val="00825D3D"/>
    <w:rsid w:val="00825E32"/>
    <w:rsid w:val="00826524"/>
    <w:rsid w:val="00826DA4"/>
    <w:rsid w:val="00827283"/>
    <w:rsid w:val="00827397"/>
    <w:rsid w:val="00827405"/>
    <w:rsid w:val="00827408"/>
    <w:rsid w:val="0082755B"/>
    <w:rsid w:val="008277B0"/>
    <w:rsid w:val="00827AB8"/>
    <w:rsid w:val="00827B1A"/>
    <w:rsid w:val="00827E4F"/>
    <w:rsid w:val="00827FB5"/>
    <w:rsid w:val="0083008D"/>
    <w:rsid w:val="00830862"/>
    <w:rsid w:val="00830C46"/>
    <w:rsid w:val="00830D54"/>
    <w:rsid w:val="00830EB0"/>
    <w:rsid w:val="00831178"/>
    <w:rsid w:val="008315A2"/>
    <w:rsid w:val="00831E49"/>
    <w:rsid w:val="00832330"/>
    <w:rsid w:val="00832509"/>
    <w:rsid w:val="0083256B"/>
    <w:rsid w:val="00832798"/>
    <w:rsid w:val="0083281A"/>
    <w:rsid w:val="00832AD6"/>
    <w:rsid w:val="008330D6"/>
    <w:rsid w:val="00833D75"/>
    <w:rsid w:val="00833EBA"/>
    <w:rsid w:val="00833FF5"/>
    <w:rsid w:val="0083471E"/>
    <w:rsid w:val="00834857"/>
    <w:rsid w:val="00834CCB"/>
    <w:rsid w:val="00835614"/>
    <w:rsid w:val="0083563A"/>
    <w:rsid w:val="00835990"/>
    <w:rsid w:val="00835C38"/>
    <w:rsid w:val="00835DDA"/>
    <w:rsid w:val="00835EC2"/>
    <w:rsid w:val="00835EE8"/>
    <w:rsid w:val="00835F0B"/>
    <w:rsid w:val="0083623D"/>
    <w:rsid w:val="0083644A"/>
    <w:rsid w:val="008364A6"/>
    <w:rsid w:val="0083690F"/>
    <w:rsid w:val="00836E40"/>
    <w:rsid w:val="00837008"/>
    <w:rsid w:val="008372E2"/>
    <w:rsid w:val="0083742C"/>
    <w:rsid w:val="008378C9"/>
    <w:rsid w:val="008379B6"/>
    <w:rsid w:val="008379BD"/>
    <w:rsid w:val="008404C2"/>
    <w:rsid w:val="00840855"/>
    <w:rsid w:val="00840958"/>
    <w:rsid w:val="00840F88"/>
    <w:rsid w:val="0084164A"/>
    <w:rsid w:val="00841B11"/>
    <w:rsid w:val="00841E91"/>
    <w:rsid w:val="008420A5"/>
    <w:rsid w:val="008422E2"/>
    <w:rsid w:val="0084247D"/>
    <w:rsid w:val="00842691"/>
    <w:rsid w:val="008431A2"/>
    <w:rsid w:val="00843A52"/>
    <w:rsid w:val="00843CE2"/>
    <w:rsid w:val="00843E96"/>
    <w:rsid w:val="00843F6F"/>
    <w:rsid w:val="00844161"/>
    <w:rsid w:val="0084435D"/>
    <w:rsid w:val="008445CB"/>
    <w:rsid w:val="0084479F"/>
    <w:rsid w:val="00844B72"/>
    <w:rsid w:val="00844E95"/>
    <w:rsid w:val="00844FE1"/>
    <w:rsid w:val="0084515A"/>
    <w:rsid w:val="00845920"/>
    <w:rsid w:val="008460B0"/>
    <w:rsid w:val="0084621F"/>
    <w:rsid w:val="0084636D"/>
    <w:rsid w:val="00846818"/>
    <w:rsid w:val="00846824"/>
    <w:rsid w:val="008468C1"/>
    <w:rsid w:val="0084731A"/>
    <w:rsid w:val="008474C9"/>
    <w:rsid w:val="00847B4E"/>
    <w:rsid w:val="0085053C"/>
    <w:rsid w:val="008506BC"/>
    <w:rsid w:val="008508E2"/>
    <w:rsid w:val="00850F5E"/>
    <w:rsid w:val="00851CAC"/>
    <w:rsid w:val="00851D39"/>
    <w:rsid w:val="00851DC0"/>
    <w:rsid w:val="00851EF9"/>
    <w:rsid w:val="008522FF"/>
    <w:rsid w:val="00853323"/>
    <w:rsid w:val="0085355A"/>
    <w:rsid w:val="008535A6"/>
    <w:rsid w:val="00853678"/>
    <w:rsid w:val="00853CE7"/>
    <w:rsid w:val="00853FD0"/>
    <w:rsid w:val="008542C2"/>
    <w:rsid w:val="00854645"/>
    <w:rsid w:val="008546BA"/>
    <w:rsid w:val="00854880"/>
    <w:rsid w:val="008549E3"/>
    <w:rsid w:val="00854EC9"/>
    <w:rsid w:val="0085557D"/>
    <w:rsid w:val="0085563F"/>
    <w:rsid w:val="008556CD"/>
    <w:rsid w:val="00855FD9"/>
    <w:rsid w:val="00856655"/>
    <w:rsid w:val="008566CB"/>
    <w:rsid w:val="00856AE9"/>
    <w:rsid w:val="00856EA2"/>
    <w:rsid w:val="008570A3"/>
    <w:rsid w:val="008570CB"/>
    <w:rsid w:val="008571BA"/>
    <w:rsid w:val="008571D2"/>
    <w:rsid w:val="008574CA"/>
    <w:rsid w:val="008576A7"/>
    <w:rsid w:val="00857774"/>
    <w:rsid w:val="00857920"/>
    <w:rsid w:val="00857C26"/>
    <w:rsid w:val="00857E96"/>
    <w:rsid w:val="00857EBC"/>
    <w:rsid w:val="00860021"/>
    <w:rsid w:val="0086096A"/>
    <w:rsid w:val="00860B0A"/>
    <w:rsid w:val="00860C9A"/>
    <w:rsid w:val="00860E34"/>
    <w:rsid w:val="0086100F"/>
    <w:rsid w:val="008612BF"/>
    <w:rsid w:val="0086145F"/>
    <w:rsid w:val="0086173C"/>
    <w:rsid w:val="00861D13"/>
    <w:rsid w:val="00861E0F"/>
    <w:rsid w:val="008623BF"/>
    <w:rsid w:val="008625CD"/>
    <w:rsid w:val="00863A39"/>
    <w:rsid w:val="00863F4E"/>
    <w:rsid w:val="00865834"/>
    <w:rsid w:val="00865E0D"/>
    <w:rsid w:val="0086630A"/>
    <w:rsid w:val="00866325"/>
    <w:rsid w:val="00866443"/>
    <w:rsid w:val="00866BDD"/>
    <w:rsid w:val="0086713E"/>
    <w:rsid w:val="008673BE"/>
    <w:rsid w:val="0086742E"/>
    <w:rsid w:val="008703D0"/>
    <w:rsid w:val="008703FD"/>
    <w:rsid w:val="00870733"/>
    <w:rsid w:val="00871091"/>
    <w:rsid w:val="008711F4"/>
    <w:rsid w:val="00871394"/>
    <w:rsid w:val="00871B9B"/>
    <w:rsid w:val="00871F1C"/>
    <w:rsid w:val="00872194"/>
    <w:rsid w:val="00872579"/>
    <w:rsid w:val="008728E0"/>
    <w:rsid w:val="00872D31"/>
    <w:rsid w:val="00873368"/>
    <w:rsid w:val="0087342F"/>
    <w:rsid w:val="0087359C"/>
    <w:rsid w:val="00873607"/>
    <w:rsid w:val="0087391E"/>
    <w:rsid w:val="008739C1"/>
    <w:rsid w:val="00873B08"/>
    <w:rsid w:val="00873C1F"/>
    <w:rsid w:val="00873DAC"/>
    <w:rsid w:val="00873F82"/>
    <w:rsid w:val="008744E6"/>
    <w:rsid w:val="008755B3"/>
    <w:rsid w:val="008757C6"/>
    <w:rsid w:val="0087665A"/>
    <w:rsid w:val="00876780"/>
    <w:rsid w:val="0087683F"/>
    <w:rsid w:val="00876BEF"/>
    <w:rsid w:val="0087769D"/>
    <w:rsid w:val="00880506"/>
    <w:rsid w:val="00880758"/>
    <w:rsid w:val="00880E82"/>
    <w:rsid w:val="00881D09"/>
    <w:rsid w:val="00882026"/>
    <w:rsid w:val="00882039"/>
    <w:rsid w:val="008821E9"/>
    <w:rsid w:val="00882314"/>
    <w:rsid w:val="00882779"/>
    <w:rsid w:val="00883107"/>
    <w:rsid w:val="0088332F"/>
    <w:rsid w:val="0088355F"/>
    <w:rsid w:val="008835C7"/>
    <w:rsid w:val="008838BC"/>
    <w:rsid w:val="00883CB0"/>
    <w:rsid w:val="0088433F"/>
    <w:rsid w:val="008843D9"/>
    <w:rsid w:val="00884445"/>
    <w:rsid w:val="00884646"/>
    <w:rsid w:val="00884674"/>
    <w:rsid w:val="00884B1F"/>
    <w:rsid w:val="00884D91"/>
    <w:rsid w:val="0088565D"/>
    <w:rsid w:val="00885767"/>
    <w:rsid w:val="00885C91"/>
    <w:rsid w:val="00885E0F"/>
    <w:rsid w:val="00886333"/>
    <w:rsid w:val="00886350"/>
    <w:rsid w:val="008863E0"/>
    <w:rsid w:val="00886542"/>
    <w:rsid w:val="0088682D"/>
    <w:rsid w:val="00886A3D"/>
    <w:rsid w:val="00886ACB"/>
    <w:rsid w:val="00886B6F"/>
    <w:rsid w:val="00887A15"/>
    <w:rsid w:val="00887D2F"/>
    <w:rsid w:val="008904F4"/>
    <w:rsid w:val="00890621"/>
    <w:rsid w:val="00890977"/>
    <w:rsid w:val="008910AC"/>
    <w:rsid w:val="00891A10"/>
    <w:rsid w:val="0089209B"/>
    <w:rsid w:val="00892BD6"/>
    <w:rsid w:val="00892C6C"/>
    <w:rsid w:val="008933C8"/>
    <w:rsid w:val="00893DB6"/>
    <w:rsid w:val="00893E8F"/>
    <w:rsid w:val="00893FFA"/>
    <w:rsid w:val="008947AC"/>
    <w:rsid w:val="0089551B"/>
    <w:rsid w:val="008955E9"/>
    <w:rsid w:val="00895D2D"/>
    <w:rsid w:val="00895D73"/>
    <w:rsid w:val="00896671"/>
    <w:rsid w:val="00897B56"/>
    <w:rsid w:val="00897CD5"/>
    <w:rsid w:val="008A02F2"/>
    <w:rsid w:val="008A036C"/>
    <w:rsid w:val="008A04C6"/>
    <w:rsid w:val="008A066F"/>
    <w:rsid w:val="008A1C65"/>
    <w:rsid w:val="008A1CB0"/>
    <w:rsid w:val="008A1FD3"/>
    <w:rsid w:val="008A2689"/>
    <w:rsid w:val="008A2FFC"/>
    <w:rsid w:val="008A30C9"/>
    <w:rsid w:val="008A45BD"/>
    <w:rsid w:val="008A4A64"/>
    <w:rsid w:val="008A4EE4"/>
    <w:rsid w:val="008A54A3"/>
    <w:rsid w:val="008A55CE"/>
    <w:rsid w:val="008A563E"/>
    <w:rsid w:val="008A5BAC"/>
    <w:rsid w:val="008A5C32"/>
    <w:rsid w:val="008A6770"/>
    <w:rsid w:val="008A6CBF"/>
    <w:rsid w:val="008A6F2C"/>
    <w:rsid w:val="008A70B2"/>
    <w:rsid w:val="008A79E8"/>
    <w:rsid w:val="008A7A61"/>
    <w:rsid w:val="008B024B"/>
    <w:rsid w:val="008B0447"/>
    <w:rsid w:val="008B0565"/>
    <w:rsid w:val="008B0B09"/>
    <w:rsid w:val="008B232D"/>
    <w:rsid w:val="008B23FB"/>
    <w:rsid w:val="008B285F"/>
    <w:rsid w:val="008B293A"/>
    <w:rsid w:val="008B2A02"/>
    <w:rsid w:val="008B32C0"/>
    <w:rsid w:val="008B3371"/>
    <w:rsid w:val="008B3EA5"/>
    <w:rsid w:val="008B3FF5"/>
    <w:rsid w:val="008B475D"/>
    <w:rsid w:val="008B5392"/>
    <w:rsid w:val="008B54C1"/>
    <w:rsid w:val="008B5865"/>
    <w:rsid w:val="008B5E8B"/>
    <w:rsid w:val="008B5FEB"/>
    <w:rsid w:val="008B6753"/>
    <w:rsid w:val="008B7E4C"/>
    <w:rsid w:val="008C10D8"/>
    <w:rsid w:val="008C13C6"/>
    <w:rsid w:val="008C166D"/>
    <w:rsid w:val="008C16D0"/>
    <w:rsid w:val="008C1A26"/>
    <w:rsid w:val="008C1D54"/>
    <w:rsid w:val="008C2277"/>
    <w:rsid w:val="008C27C0"/>
    <w:rsid w:val="008C334B"/>
    <w:rsid w:val="008C34E4"/>
    <w:rsid w:val="008C38B5"/>
    <w:rsid w:val="008C500E"/>
    <w:rsid w:val="008C54C3"/>
    <w:rsid w:val="008C57B1"/>
    <w:rsid w:val="008C5924"/>
    <w:rsid w:val="008C5973"/>
    <w:rsid w:val="008C5A78"/>
    <w:rsid w:val="008C5FF3"/>
    <w:rsid w:val="008C61E1"/>
    <w:rsid w:val="008C625E"/>
    <w:rsid w:val="008C64ED"/>
    <w:rsid w:val="008C6540"/>
    <w:rsid w:val="008C6716"/>
    <w:rsid w:val="008C6D7E"/>
    <w:rsid w:val="008C7702"/>
    <w:rsid w:val="008C7C4C"/>
    <w:rsid w:val="008D0483"/>
    <w:rsid w:val="008D06C8"/>
    <w:rsid w:val="008D09F7"/>
    <w:rsid w:val="008D0CA5"/>
    <w:rsid w:val="008D1099"/>
    <w:rsid w:val="008D1D3E"/>
    <w:rsid w:val="008D2067"/>
    <w:rsid w:val="008D2342"/>
    <w:rsid w:val="008D2346"/>
    <w:rsid w:val="008D2A21"/>
    <w:rsid w:val="008D2B6B"/>
    <w:rsid w:val="008D2BE5"/>
    <w:rsid w:val="008D3794"/>
    <w:rsid w:val="008D3989"/>
    <w:rsid w:val="008D3CBA"/>
    <w:rsid w:val="008D42E1"/>
    <w:rsid w:val="008D4665"/>
    <w:rsid w:val="008D4A32"/>
    <w:rsid w:val="008D4DDC"/>
    <w:rsid w:val="008D5675"/>
    <w:rsid w:val="008D59B0"/>
    <w:rsid w:val="008D6001"/>
    <w:rsid w:val="008D625A"/>
    <w:rsid w:val="008D64AF"/>
    <w:rsid w:val="008D6717"/>
    <w:rsid w:val="008D6B46"/>
    <w:rsid w:val="008D6FA1"/>
    <w:rsid w:val="008D716B"/>
    <w:rsid w:val="008D7241"/>
    <w:rsid w:val="008D7730"/>
    <w:rsid w:val="008D77DF"/>
    <w:rsid w:val="008D7AF2"/>
    <w:rsid w:val="008E0B3C"/>
    <w:rsid w:val="008E0EAA"/>
    <w:rsid w:val="008E1198"/>
    <w:rsid w:val="008E12B1"/>
    <w:rsid w:val="008E1359"/>
    <w:rsid w:val="008E1731"/>
    <w:rsid w:val="008E1990"/>
    <w:rsid w:val="008E1EA0"/>
    <w:rsid w:val="008E2066"/>
    <w:rsid w:val="008E2588"/>
    <w:rsid w:val="008E2C7C"/>
    <w:rsid w:val="008E2F6C"/>
    <w:rsid w:val="008E326C"/>
    <w:rsid w:val="008E3481"/>
    <w:rsid w:val="008E4376"/>
    <w:rsid w:val="008E4830"/>
    <w:rsid w:val="008E5235"/>
    <w:rsid w:val="008E53E3"/>
    <w:rsid w:val="008E5CF1"/>
    <w:rsid w:val="008E6013"/>
    <w:rsid w:val="008E688E"/>
    <w:rsid w:val="008E6F46"/>
    <w:rsid w:val="008E6FC9"/>
    <w:rsid w:val="008E75AF"/>
    <w:rsid w:val="008E7D19"/>
    <w:rsid w:val="008F03BC"/>
    <w:rsid w:val="008F067C"/>
    <w:rsid w:val="008F0DBB"/>
    <w:rsid w:val="008F0EA2"/>
    <w:rsid w:val="008F0F36"/>
    <w:rsid w:val="008F0F84"/>
    <w:rsid w:val="008F1437"/>
    <w:rsid w:val="008F2657"/>
    <w:rsid w:val="008F2659"/>
    <w:rsid w:val="008F2A0A"/>
    <w:rsid w:val="008F2DA9"/>
    <w:rsid w:val="008F344D"/>
    <w:rsid w:val="008F3584"/>
    <w:rsid w:val="008F3D80"/>
    <w:rsid w:val="008F4124"/>
    <w:rsid w:val="008F460C"/>
    <w:rsid w:val="008F46C1"/>
    <w:rsid w:val="008F4A25"/>
    <w:rsid w:val="008F4A4D"/>
    <w:rsid w:val="008F4CD6"/>
    <w:rsid w:val="008F5048"/>
    <w:rsid w:val="008F51DE"/>
    <w:rsid w:val="008F5A8A"/>
    <w:rsid w:val="008F5CCF"/>
    <w:rsid w:val="008F5EC5"/>
    <w:rsid w:val="008F632C"/>
    <w:rsid w:val="008F66D2"/>
    <w:rsid w:val="008F6F27"/>
    <w:rsid w:val="008F7570"/>
    <w:rsid w:val="008F7694"/>
    <w:rsid w:val="008F7A96"/>
    <w:rsid w:val="008F7B1F"/>
    <w:rsid w:val="008F7B98"/>
    <w:rsid w:val="008F7BFE"/>
    <w:rsid w:val="008F7D1A"/>
    <w:rsid w:val="0090045C"/>
    <w:rsid w:val="00900B0D"/>
    <w:rsid w:val="0090132B"/>
    <w:rsid w:val="00901457"/>
    <w:rsid w:val="0090186D"/>
    <w:rsid w:val="00902243"/>
    <w:rsid w:val="0090283F"/>
    <w:rsid w:val="00902A29"/>
    <w:rsid w:val="00902DAA"/>
    <w:rsid w:val="00902E3B"/>
    <w:rsid w:val="00902EB1"/>
    <w:rsid w:val="009032A0"/>
    <w:rsid w:val="0090341B"/>
    <w:rsid w:val="0090360C"/>
    <w:rsid w:val="009044E4"/>
    <w:rsid w:val="0090485C"/>
    <w:rsid w:val="00904AE1"/>
    <w:rsid w:val="00904F11"/>
    <w:rsid w:val="00904FF5"/>
    <w:rsid w:val="0090532B"/>
    <w:rsid w:val="0090552A"/>
    <w:rsid w:val="0090554E"/>
    <w:rsid w:val="009055E0"/>
    <w:rsid w:val="009055FA"/>
    <w:rsid w:val="00905733"/>
    <w:rsid w:val="00905841"/>
    <w:rsid w:val="009058E0"/>
    <w:rsid w:val="009059F6"/>
    <w:rsid w:val="00906091"/>
    <w:rsid w:val="00906323"/>
    <w:rsid w:val="00907E59"/>
    <w:rsid w:val="00907FB0"/>
    <w:rsid w:val="0091023A"/>
    <w:rsid w:val="009106FA"/>
    <w:rsid w:val="00910CFF"/>
    <w:rsid w:val="00910D39"/>
    <w:rsid w:val="00910E6B"/>
    <w:rsid w:val="00911380"/>
    <w:rsid w:val="00911A92"/>
    <w:rsid w:val="00911B11"/>
    <w:rsid w:val="0091201B"/>
    <w:rsid w:val="00912601"/>
    <w:rsid w:val="00912DCF"/>
    <w:rsid w:val="00912E71"/>
    <w:rsid w:val="0091444B"/>
    <w:rsid w:val="0091449E"/>
    <w:rsid w:val="0091487F"/>
    <w:rsid w:val="009152CE"/>
    <w:rsid w:val="00915480"/>
    <w:rsid w:val="00915E35"/>
    <w:rsid w:val="00915FC0"/>
    <w:rsid w:val="009161C5"/>
    <w:rsid w:val="0091642E"/>
    <w:rsid w:val="00916BDE"/>
    <w:rsid w:val="009172E1"/>
    <w:rsid w:val="00917611"/>
    <w:rsid w:val="00917F30"/>
    <w:rsid w:val="0092029F"/>
    <w:rsid w:val="009202D7"/>
    <w:rsid w:val="009202DA"/>
    <w:rsid w:val="00920A69"/>
    <w:rsid w:val="00920E30"/>
    <w:rsid w:val="00920F16"/>
    <w:rsid w:val="00920F38"/>
    <w:rsid w:val="00920F42"/>
    <w:rsid w:val="009215B2"/>
    <w:rsid w:val="0092179E"/>
    <w:rsid w:val="00921981"/>
    <w:rsid w:val="00921E3C"/>
    <w:rsid w:val="00922C61"/>
    <w:rsid w:val="0092327D"/>
    <w:rsid w:val="0092377F"/>
    <w:rsid w:val="00923B0D"/>
    <w:rsid w:val="00923C1B"/>
    <w:rsid w:val="00923CD4"/>
    <w:rsid w:val="00923D3D"/>
    <w:rsid w:val="00923DB0"/>
    <w:rsid w:val="009250FE"/>
    <w:rsid w:val="0092579A"/>
    <w:rsid w:val="00926046"/>
    <w:rsid w:val="00927748"/>
    <w:rsid w:val="00927E6F"/>
    <w:rsid w:val="00930225"/>
    <w:rsid w:val="009304CE"/>
    <w:rsid w:val="009305C4"/>
    <w:rsid w:val="009307C2"/>
    <w:rsid w:val="0093099E"/>
    <w:rsid w:val="00930A41"/>
    <w:rsid w:val="00931437"/>
    <w:rsid w:val="00931B8F"/>
    <w:rsid w:val="009321E4"/>
    <w:rsid w:val="0093281A"/>
    <w:rsid w:val="00932928"/>
    <w:rsid w:val="00932E85"/>
    <w:rsid w:val="00932F98"/>
    <w:rsid w:val="009334C3"/>
    <w:rsid w:val="009338DD"/>
    <w:rsid w:val="00933E2A"/>
    <w:rsid w:val="009343A8"/>
    <w:rsid w:val="009345B0"/>
    <w:rsid w:val="0093480A"/>
    <w:rsid w:val="00934B7A"/>
    <w:rsid w:val="00934F5D"/>
    <w:rsid w:val="009352F1"/>
    <w:rsid w:val="00935477"/>
    <w:rsid w:val="00935478"/>
    <w:rsid w:val="00935630"/>
    <w:rsid w:val="00935E2F"/>
    <w:rsid w:val="00935F60"/>
    <w:rsid w:val="009360D9"/>
    <w:rsid w:val="00936496"/>
    <w:rsid w:val="00936825"/>
    <w:rsid w:val="00936A22"/>
    <w:rsid w:val="009379D3"/>
    <w:rsid w:val="00937CBF"/>
    <w:rsid w:val="00937FA1"/>
    <w:rsid w:val="00940005"/>
    <w:rsid w:val="0094059F"/>
    <w:rsid w:val="0094067C"/>
    <w:rsid w:val="00940E88"/>
    <w:rsid w:val="00940F4E"/>
    <w:rsid w:val="00940F86"/>
    <w:rsid w:val="0094128C"/>
    <w:rsid w:val="0094150E"/>
    <w:rsid w:val="009415EF"/>
    <w:rsid w:val="00941615"/>
    <w:rsid w:val="00941727"/>
    <w:rsid w:val="00941D27"/>
    <w:rsid w:val="00942A92"/>
    <w:rsid w:val="00942C0C"/>
    <w:rsid w:val="00942F3D"/>
    <w:rsid w:val="00942FDC"/>
    <w:rsid w:val="00943271"/>
    <w:rsid w:val="00943638"/>
    <w:rsid w:val="0094369F"/>
    <w:rsid w:val="00943F22"/>
    <w:rsid w:val="0094407A"/>
    <w:rsid w:val="0094450B"/>
    <w:rsid w:val="0094529B"/>
    <w:rsid w:val="009452D2"/>
    <w:rsid w:val="0094539B"/>
    <w:rsid w:val="00945617"/>
    <w:rsid w:val="0094563D"/>
    <w:rsid w:val="009459C1"/>
    <w:rsid w:val="00945EC4"/>
    <w:rsid w:val="00946152"/>
    <w:rsid w:val="009462D9"/>
    <w:rsid w:val="009463BA"/>
    <w:rsid w:val="009468CD"/>
    <w:rsid w:val="00946E7C"/>
    <w:rsid w:val="0094705D"/>
    <w:rsid w:val="009473FF"/>
    <w:rsid w:val="009475DB"/>
    <w:rsid w:val="00947A77"/>
    <w:rsid w:val="00947C92"/>
    <w:rsid w:val="00950568"/>
    <w:rsid w:val="00950BBB"/>
    <w:rsid w:val="00950DE3"/>
    <w:rsid w:val="0095152E"/>
    <w:rsid w:val="00951745"/>
    <w:rsid w:val="00952AA8"/>
    <w:rsid w:val="0095300A"/>
    <w:rsid w:val="00953538"/>
    <w:rsid w:val="00953999"/>
    <w:rsid w:val="00953C52"/>
    <w:rsid w:val="00953E8F"/>
    <w:rsid w:val="00954DDB"/>
    <w:rsid w:val="00955497"/>
    <w:rsid w:val="00955E4D"/>
    <w:rsid w:val="00956265"/>
    <w:rsid w:val="00956706"/>
    <w:rsid w:val="00956AF6"/>
    <w:rsid w:val="009575B6"/>
    <w:rsid w:val="00957A14"/>
    <w:rsid w:val="00960100"/>
    <w:rsid w:val="0096078F"/>
    <w:rsid w:val="0096082A"/>
    <w:rsid w:val="009608B1"/>
    <w:rsid w:val="00960C4E"/>
    <w:rsid w:val="00960EEE"/>
    <w:rsid w:val="00960FAE"/>
    <w:rsid w:val="009610A9"/>
    <w:rsid w:val="009613ED"/>
    <w:rsid w:val="00961C60"/>
    <w:rsid w:val="00961F38"/>
    <w:rsid w:val="0096209E"/>
    <w:rsid w:val="0096229A"/>
    <w:rsid w:val="0096243C"/>
    <w:rsid w:val="00962572"/>
    <w:rsid w:val="0096285F"/>
    <w:rsid w:val="00963079"/>
    <w:rsid w:val="00963084"/>
    <w:rsid w:val="0096310E"/>
    <w:rsid w:val="0096363E"/>
    <w:rsid w:val="0096394A"/>
    <w:rsid w:val="00964752"/>
    <w:rsid w:val="00964A0D"/>
    <w:rsid w:val="00964D63"/>
    <w:rsid w:val="0096519D"/>
    <w:rsid w:val="00965244"/>
    <w:rsid w:val="00965526"/>
    <w:rsid w:val="00965657"/>
    <w:rsid w:val="00965B03"/>
    <w:rsid w:val="00965F13"/>
    <w:rsid w:val="0096697B"/>
    <w:rsid w:val="00966A58"/>
    <w:rsid w:val="0096728F"/>
    <w:rsid w:val="00967BCE"/>
    <w:rsid w:val="00967FE3"/>
    <w:rsid w:val="00970070"/>
    <w:rsid w:val="009701B6"/>
    <w:rsid w:val="00970CDC"/>
    <w:rsid w:val="0097116C"/>
    <w:rsid w:val="00971ADE"/>
    <w:rsid w:val="00971DF4"/>
    <w:rsid w:val="00971E26"/>
    <w:rsid w:val="0097226A"/>
    <w:rsid w:val="00972B7B"/>
    <w:rsid w:val="00973026"/>
    <w:rsid w:val="0097313E"/>
    <w:rsid w:val="0097368E"/>
    <w:rsid w:val="00973A0C"/>
    <w:rsid w:val="00973FC3"/>
    <w:rsid w:val="009744E1"/>
    <w:rsid w:val="009746B7"/>
    <w:rsid w:val="00975833"/>
    <w:rsid w:val="00975ACF"/>
    <w:rsid w:val="00975F23"/>
    <w:rsid w:val="00975F2B"/>
    <w:rsid w:val="0097602B"/>
    <w:rsid w:val="0097687E"/>
    <w:rsid w:val="009769CF"/>
    <w:rsid w:val="009769EE"/>
    <w:rsid w:val="00977179"/>
    <w:rsid w:val="00977B21"/>
    <w:rsid w:val="00980BDF"/>
    <w:rsid w:val="00980F16"/>
    <w:rsid w:val="009811DE"/>
    <w:rsid w:val="00981554"/>
    <w:rsid w:val="00981D47"/>
    <w:rsid w:val="009827B6"/>
    <w:rsid w:val="00982C10"/>
    <w:rsid w:val="009833E7"/>
    <w:rsid w:val="0098377F"/>
    <w:rsid w:val="0098395E"/>
    <w:rsid w:val="00983A70"/>
    <w:rsid w:val="00984D51"/>
    <w:rsid w:val="00985088"/>
    <w:rsid w:val="009852B8"/>
    <w:rsid w:val="00985497"/>
    <w:rsid w:val="009857D9"/>
    <w:rsid w:val="00985BE4"/>
    <w:rsid w:val="00985D5A"/>
    <w:rsid w:val="00985EC5"/>
    <w:rsid w:val="00986726"/>
    <w:rsid w:val="009877F0"/>
    <w:rsid w:val="009878AF"/>
    <w:rsid w:val="00987CC5"/>
    <w:rsid w:val="0099008E"/>
    <w:rsid w:val="009909D2"/>
    <w:rsid w:val="00990C05"/>
    <w:rsid w:val="00990DC8"/>
    <w:rsid w:val="00990F7B"/>
    <w:rsid w:val="00991274"/>
    <w:rsid w:val="009914A8"/>
    <w:rsid w:val="009919DD"/>
    <w:rsid w:val="00991A16"/>
    <w:rsid w:val="00991A9A"/>
    <w:rsid w:val="00991F36"/>
    <w:rsid w:val="0099203B"/>
    <w:rsid w:val="00992AB5"/>
    <w:rsid w:val="00993E40"/>
    <w:rsid w:val="00994A90"/>
    <w:rsid w:val="00994B7A"/>
    <w:rsid w:val="00994C62"/>
    <w:rsid w:val="00994DD1"/>
    <w:rsid w:val="00995712"/>
    <w:rsid w:val="009957ED"/>
    <w:rsid w:val="009959AC"/>
    <w:rsid w:val="00995D26"/>
    <w:rsid w:val="00995D54"/>
    <w:rsid w:val="0099603D"/>
    <w:rsid w:val="00996B3A"/>
    <w:rsid w:val="00996D77"/>
    <w:rsid w:val="009970D6"/>
    <w:rsid w:val="00997719"/>
    <w:rsid w:val="00997883"/>
    <w:rsid w:val="009A07A6"/>
    <w:rsid w:val="009A0AB6"/>
    <w:rsid w:val="009A22AE"/>
    <w:rsid w:val="009A22CD"/>
    <w:rsid w:val="009A245A"/>
    <w:rsid w:val="009A24C4"/>
    <w:rsid w:val="009A24EF"/>
    <w:rsid w:val="009A27A1"/>
    <w:rsid w:val="009A27EC"/>
    <w:rsid w:val="009A2F6F"/>
    <w:rsid w:val="009A3363"/>
    <w:rsid w:val="009A36B1"/>
    <w:rsid w:val="009A3805"/>
    <w:rsid w:val="009A3DD4"/>
    <w:rsid w:val="009A3FB5"/>
    <w:rsid w:val="009A4284"/>
    <w:rsid w:val="009A433C"/>
    <w:rsid w:val="009A4AFC"/>
    <w:rsid w:val="009A4CB0"/>
    <w:rsid w:val="009A5493"/>
    <w:rsid w:val="009A56D9"/>
    <w:rsid w:val="009A5E3E"/>
    <w:rsid w:val="009A6055"/>
    <w:rsid w:val="009A61B1"/>
    <w:rsid w:val="009A636B"/>
    <w:rsid w:val="009A678C"/>
    <w:rsid w:val="009A6C0C"/>
    <w:rsid w:val="009A6CA6"/>
    <w:rsid w:val="009A6DB0"/>
    <w:rsid w:val="009A714F"/>
    <w:rsid w:val="009A7291"/>
    <w:rsid w:val="009A7403"/>
    <w:rsid w:val="009A740C"/>
    <w:rsid w:val="009A75C9"/>
    <w:rsid w:val="009B0F34"/>
    <w:rsid w:val="009B0F7A"/>
    <w:rsid w:val="009B1579"/>
    <w:rsid w:val="009B1C1A"/>
    <w:rsid w:val="009B1CB9"/>
    <w:rsid w:val="009B1CFD"/>
    <w:rsid w:val="009B1DD4"/>
    <w:rsid w:val="009B250D"/>
    <w:rsid w:val="009B2F17"/>
    <w:rsid w:val="009B3253"/>
    <w:rsid w:val="009B36EC"/>
    <w:rsid w:val="009B3725"/>
    <w:rsid w:val="009B3778"/>
    <w:rsid w:val="009B3B52"/>
    <w:rsid w:val="009B3BA8"/>
    <w:rsid w:val="009B3F5D"/>
    <w:rsid w:val="009B42F4"/>
    <w:rsid w:val="009B446F"/>
    <w:rsid w:val="009B4679"/>
    <w:rsid w:val="009B4808"/>
    <w:rsid w:val="009B4C08"/>
    <w:rsid w:val="009B537C"/>
    <w:rsid w:val="009B6138"/>
    <w:rsid w:val="009B65C5"/>
    <w:rsid w:val="009B6B84"/>
    <w:rsid w:val="009B6D7A"/>
    <w:rsid w:val="009B7293"/>
    <w:rsid w:val="009B7346"/>
    <w:rsid w:val="009B73DA"/>
    <w:rsid w:val="009B7AFA"/>
    <w:rsid w:val="009C01CF"/>
    <w:rsid w:val="009C01E0"/>
    <w:rsid w:val="009C08C2"/>
    <w:rsid w:val="009C0C21"/>
    <w:rsid w:val="009C1110"/>
    <w:rsid w:val="009C11EC"/>
    <w:rsid w:val="009C1523"/>
    <w:rsid w:val="009C1B10"/>
    <w:rsid w:val="009C1D25"/>
    <w:rsid w:val="009C2004"/>
    <w:rsid w:val="009C20A3"/>
    <w:rsid w:val="009C22A7"/>
    <w:rsid w:val="009C2499"/>
    <w:rsid w:val="009C3258"/>
    <w:rsid w:val="009C4A23"/>
    <w:rsid w:val="009C50EC"/>
    <w:rsid w:val="009C5181"/>
    <w:rsid w:val="009C532B"/>
    <w:rsid w:val="009C5527"/>
    <w:rsid w:val="009C5983"/>
    <w:rsid w:val="009C5CB2"/>
    <w:rsid w:val="009C5E5C"/>
    <w:rsid w:val="009C5F44"/>
    <w:rsid w:val="009C697D"/>
    <w:rsid w:val="009C697F"/>
    <w:rsid w:val="009C6A39"/>
    <w:rsid w:val="009C6B26"/>
    <w:rsid w:val="009C7263"/>
    <w:rsid w:val="009C7BBF"/>
    <w:rsid w:val="009C7BE4"/>
    <w:rsid w:val="009C7DAC"/>
    <w:rsid w:val="009C7DC9"/>
    <w:rsid w:val="009D0417"/>
    <w:rsid w:val="009D0481"/>
    <w:rsid w:val="009D059E"/>
    <w:rsid w:val="009D0A0B"/>
    <w:rsid w:val="009D0A30"/>
    <w:rsid w:val="009D0B96"/>
    <w:rsid w:val="009D0EC4"/>
    <w:rsid w:val="009D1084"/>
    <w:rsid w:val="009D144A"/>
    <w:rsid w:val="009D1718"/>
    <w:rsid w:val="009D28A1"/>
    <w:rsid w:val="009D28B6"/>
    <w:rsid w:val="009D2966"/>
    <w:rsid w:val="009D30C1"/>
    <w:rsid w:val="009D3110"/>
    <w:rsid w:val="009D3129"/>
    <w:rsid w:val="009D3706"/>
    <w:rsid w:val="009D39D2"/>
    <w:rsid w:val="009D3BE5"/>
    <w:rsid w:val="009D3DD0"/>
    <w:rsid w:val="009D4599"/>
    <w:rsid w:val="009D4CE1"/>
    <w:rsid w:val="009D5497"/>
    <w:rsid w:val="009D551A"/>
    <w:rsid w:val="009D6101"/>
    <w:rsid w:val="009D640E"/>
    <w:rsid w:val="009D6989"/>
    <w:rsid w:val="009D7350"/>
    <w:rsid w:val="009D7466"/>
    <w:rsid w:val="009D750D"/>
    <w:rsid w:val="009E0007"/>
    <w:rsid w:val="009E002C"/>
    <w:rsid w:val="009E05F9"/>
    <w:rsid w:val="009E06E9"/>
    <w:rsid w:val="009E0A21"/>
    <w:rsid w:val="009E1A99"/>
    <w:rsid w:val="009E1B9D"/>
    <w:rsid w:val="009E1BFF"/>
    <w:rsid w:val="009E254D"/>
    <w:rsid w:val="009E2A81"/>
    <w:rsid w:val="009E2C99"/>
    <w:rsid w:val="009E3337"/>
    <w:rsid w:val="009E3399"/>
    <w:rsid w:val="009E3567"/>
    <w:rsid w:val="009E3740"/>
    <w:rsid w:val="009E37B2"/>
    <w:rsid w:val="009E3866"/>
    <w:rsid w:val="009E3CC1"/>
    <w:rsid w:val="009E4420"/>
    <w:rsid w:val="009E4B40"/>
    <w:rsid w:val="009E4B41"/>
    <w:rsid w:val="009E4B86"/>
    <w:rsid w:val="009E4C96"/>
    <w:rsid w:val="009E4E04"/>
    <w:rsid w:val="009E4EF0"/>
    <w:rsid w:val="009E57A9"/>
    <w:rsid w:val="009E58B4"/>
    <w:rsid w:val="009E59AC"/>
    <w:rsid w:val="009E73F5"/>
    <w:rsid w:val="009E77E9"/>
    <w:rsid w:val="009E78A2"/>
    <w:rsid w:val="009E7C04"/>
    <w:rsid w:val="009F079C"/>
    <w:rsid w:val="009F087B"/>
    <w:rsid w:val="009F0F39"/>
    <w:rsid w:val="009F129F"/>
    <w:rsid w:val="009F17ED"/>
    <w:rsid w:val="009F180C"/>
    <w:rsid w:val="009F1BB9"/>
    <w:rsid w:val="009F1D58"/>
    <w:rsid w:val="009F2589"/>
    <w:rsid w:val="009F2AF2"/>
    <w:rsid w:val="009F2B1E"/>
    <w:rsid w:val="009F2E41"/>
    <w:rsid w:val="009F30CC"/>
    <w:rsid w:val="009F3A54"/>
    <w:rsid w:val="009F406D"/>
    <w:rsid w:val="009F440E"/>
    <w:rsid w:val="009F4583"/>
    <w:rsid w:val="009F459D"/>
    <w:rsid w:val="009F465E"/>
    <w:rsid w:val="009F4A17"/>
    <w:rsid w:val="009F4CAD"/>
    <w:rsid w:val="009F4DD5"/>
    <w:rsid w:val="009F4F30"/>
    <w:rsid w:val="009F5340"/>
    <w:rsid w:val="009F5678"/>
    <w:rsid w:val="009F58C1"/>
    <w:rsid w:val="009F5B42"/>
    <w:rsid w:val="009F5DE0"/>
    <w:rsid w:val="009F60A8"/>
    <w:rsid w:val="009F60D7"/>
    <w:rsid w:val="009F6BCF"/>
    <w:rsid w:val="009F70DD"/>
    <w:rsid w:val="009F7287"/>
    <w:rsid w:val="00A00103"/>
    <w:rsid w:val="00A0030F"/>
    <w:rsid w:val="00A01534"/>
    <w:rsid w:val="00A01981"/>
    <w:rsid w:val="00A01EAC"/>
    <w:rsid w:val="00A02160"/>
    <w:rsid w:val="00A0238F"/>
    <w:rsid w:val="00A02D8F"/>
    <w:rsid w:val="00A03020"/>
    <w:rsid w:val="00A035BD"/>
    <w:rsid w:val="00A0361D"/>
    <w:rsid w:val="00A03CB1"/>
    <w:rsid w:val="00A04F44"/>
    <w:rsid w:val="00A051FD"/>
    <w:rsid w:val="00A060B6"/>
    <w:rsid w:val="00A06481"/>
    <w:rsid w:val="00A0664F"/>
    <w:rsid w:val="00A06809"/>
    <w:rsid w:val="00A0698C"/>
    <w:rsid w:val="00A06C52"/>
    <w:rsid w:val="00A07324"/>
    <w:rsid w:val="00A0738D"/>
    <w:rsid w:val="00A07588"/>
    <w:rsid w:val="00A07625"/>
    <w:rsid w:val="00A07C74"/>
    <w:rsid w:val="00A104FC"/>
    <w:rsid w:val="00A10852"/>
    <w:rsid w:val="00A10E24"/>
    <w:rsid w:val="00A10FA9"/>
    <w:rsid w:val="00A11897"/>
    <w:rsid w:val="00A11B55"/>
    <w:rsid w:val="00A11C90"/>
    <w:rsid w:val="00A11D00"/>
    <w:rsid w:val="00A12140"/>
    <w:rsid w:val="00A1253E"/>
    <w:rsid w:val="00A1257B"/>
    <w:rsid w:val="00A12B7B"/>
    <w:rsid w:val="00A133E4"/>
    <w:rsid w:val="00A137B1"/>
    <w:rsid w:val="00A13A5C"/>
    <w:rsid w:val="00A14097"/>
    <w:rsid w:val="00A14A1A"/>
    <w:rsid w:val="00A14DC4"/>
    <w:rsid w:val="00A15016"/>
    <w:rsid w:val="00A1625B"/>
    <w:rsid w:val="00A1701C"/>
    <w:rsid w:val="00A1706B"/>
    <w:rsid w:val="00A1735A"/>
    <w:rsid w:val="00A20281"/>
    <w:rsid w:val="00A20537"/>
    <w:rsid w:val="00A2062B"/>
    <w:rsid w:val="00A2085F"/>
    <w:rsid w:val="00A20967"/>
    <w:rsid w:val="00A21637"/>
    <w:rsid w:val="00A216B6"/>
    <w:rsid w:val="00A21C1E"/>
    <w:rsid w:val="00A21D59"/>
    <w:rsid w:val="00A21E27"/>
    <w:rsid w:val="00A2228D"/>
    <w:rsid w:val="00A22EAB"/>
    <w:rsid w:val="00A23698"/>
    <w:rsid w:val="00A23BA5"/>
    <w:rsid w:val="00A23DED"/>
    <w:rsid w:val="00A23FF0"/>
    <w:rsid w:val="00A249CD"/>
    <w:rsid w:val="00A24EE8"/>
    <w:rsid w:val="00A25B8D"/>
    <w:rsid w:val="00A25DE4"/>
    <w:rsid w:val="00A25DF3"/>
    <w:rsid w:val="00A263B7"/>
    <w:rsid w:val="00A26482"/>
    <w:rsid w:val="00A26F91"/>
    <w:rsid w:val="00A271C8"/>
    <w:rsid w:val="00A27759"/>
    <w:rsid w:val="00A27837"/>
    <w:rsid w:val="00A2796B"/>
    <w:rsid w:val="00A27F1F"/>
    <w:rsid w:val="00A30B54"/>
    <w:rsid w:val="00A30E74"/>
    <w:rsid w:val="00A31330"/>
    <w:rsid w:val="00A31875"/>
    <w:rsid w:val="00A31EF4"/>
    <w:rsid w:val="00A327A2"/>
    <w:rsid w:val="00A32A7C"/>
    <w:rsid w:val="00A32C53"/>
    <w:rsid w:val="00A33231"/>
    <w:rsid w:val="00A33D14"/>
    <w:rsid w:val="00A346BC"/>
    <w:rsid w:val="00A34A57"/>
    <w:rsid w:val="00A34B65"/>
    <w:rsid w:val="00A34CE9"/>
    <w:rsid w:val="00A35168"/>
    <w:rsid w:val="00A3681E"/>
    <w:rsid w:val="00A36F95"/>
    <w:rsid w:val="00A37130"/>
    <w:rsid w:val="00A37807"/>
    <w:rsid w:val="00A37D0A"/>
    <w:rsid w:val="00A37EE6"/>
    <w:rsid w:val="00A40062"/>
    <w:rsid w:val="00A401FE"/>
    <w:rsid w:val="00A40263"/>
    <w:rsid w:val="00A40375"/>
    <w:rsid w:val="00A409D7"/>
    <w:rsid w:val="00A40CC0"/>
    <w:rsid w:val="00A40CCB"/>
    <w:rsid w:val="00A40F31"/>
    <w:rsid w:val="00A41113"/>
    <w:rsid w:val="00A41558"/>
    <w:rsid w:val="00A41AEE"/>
    <w:rsid w:val="00A42716"/>
    <w:rsid w:val="00A42F27"/>
    <w:rsid w:val="00A43090"/>
    <w:rsid w:val="00A43C2D"/>
    <w:rsid w:val="00A43C96"/>
    <w:rsid w:val="00A43E3D"/>
    <w:rsid w:val="00A440A8"/>
    <w:rsid w:val="00A441FA"/>
    <w:rsid w:val="00A448F1"/>
    <w:rsid w:val="00A44B0B"/>
    <w:rsid w:val="00A45404"/>
    <w:rsid w:val="00A45784"/>
    <w:rsid w:val="00A45A7C"/>
    <w:rsid w:val="00A46495"/>
    <w:rsid w:val="00A466BE"/>
    <w:rsid w:val="00A46962"/>
    <w:rsid w:val="00A46A1D"/>
    <w:rsid w:val="00A46A8B"/>
    <w:rsid w:val="00A506C1"/>
    <w:rsid w:val="00A511D7"/>
    <w:rsid w:val="00A51A54"/>
    <w:rsid w:val="00A521AD"/>
    <w:rsid w:val="00A521BB"/>
    <w:rsid w:val="00A527E5"/>
    <w:rsid w:val="00A52997"/>
    <w:rsid w:val="00A52AD7"/>
    <w:rsid w:val="00A52C48"/>
    <w:rsid w:val="00A52E7B"/>
    <w:rsid w:val="00A52EB8"/>
    <w:rsid w:val="00A53636"/>
    <w:rsid w:val="00A5380F"/>
    <w:rsid w:val="00A538BC"/>
    <w:rsid w:val="00A5395E"/>
    <w:rsid w:val="00A5447B"/>
    <w:rsid w:val="00A5473C"/>
    <w:rsid w:val="00A548CD"/>
    <w:rsid w:val="00A55053"/>
    <w:rsid w:val="00A552ED"/>
    <w:rsid w:val="00A560D9"/>
    <w:rsid w:val="00A56105"/>
    <w:rsid w:val="00A56205"/>
    <w:rsid w:val="00A562E4"/>
    <w:rsid w:val="00A56304"/>
    <w:rsid w:val="00A56424"/>
    <w:rsid w:val="00A56728"/>
    <w:rsid w:val="00A56B51"/>
    <w:rsid w:val="00A56CA1"/>
    <w:rsid w:val="00A56ECA"/>
    <w:rsid w:val="00A5749E"/>
    <w:rsid w:val="00A57A15"/>
    <w:rsid w:val="00A57C67"/>
    <w:rsid w:val="00A57DD1"/>
    <w:rsid w:val="00A57E5F"/>
    <w:rsid w:val="00A601EA"/>
    <w:rsid w:val="00A60223"/>
    <w:rsid w:val="00A60247"/>
    <w:rsid w:val="00A61016"/>
    <w:rsid w:val="00A61DC4"/>
    <w:rsid w:val="00A62CAC"/>
    <w:rsid w:val="00A62F35"/>
    <w:rsid w:val="00A62F77"/>
    <w:rsid w:val="00A63196"/>
    <w:rsid w:val="00A632E7"/>
    <w:rsid w:val="00A63784"/>
    <w:rsid w:val="00A637F4"/>
    <w:rsid w:val="00A638BA"/>
    <w:rsid w:val="00A64160"/>
    <w:rsid w:val="00A64FAB"/>
    <w:rsid w:val="00A64FE9"/>
    <w:rsid w:val="00A652B0"/>
    <w:rsid w:val="00A657B3"/>
    <w:rsid w:val="00A66306"/>
    <w:rsid w:val="00A667CC"/>
    <w:rsid w:val="00A668EE"/>
    <w:rsid w:val="00A66A1E"/>
    <w:rsid w:val="00A66CF1"/>
    <w:rsid w:val="00A66E1E"/>
    <w:rsid w:val="00A671A2"/>
    <w:rsid w:val="00A67D01"/>
    <w:rsid w:val="00A67EAA"/>
    <w:rsid w:val="00A67FB3"/>
    <w:rsid w:val="00A7099D"/>
    <w:rsid w:val="00A70EBA"/>
    <w:rsid w:val="00A7115A"/>
    <w:rsid w:val="00A71C7E"/>
    <w:rsid w:val="00A71E02"/>
    <w:rsid w:val="00A72064"/>
    <w:rsid w:val="00A7269E"/>
    <w:rsid w:val="00A7316A"/>
    <w:rsid w:val="00A73511"/>
    <w:rsid w:val="00A73585"/>
    <w:rsid w:val="00A73BFF"/>
    <w:rsid w:val="00A73FD6"/>
    <w:rsid w:val="00A740FD"/>
    <w:rsid w:val="00A74AFD"/>
    <w:rsid w:val="00A752EA"/>
    <w:rsid w:val="00A75810"/>
    <w:rsid w:val="00A7595E"/>
    <w:rsid w:val="00A7612D"/>
    <w:rsid w:val="00A76883"/>
    <w:rsid w:val="00A77196"/>
    <w:rsid w:val="00A77355"/>
    <w:rsid w:val="00A7759C"/>
    <w:rsid w:val="00A77C63"/>
    <w:rsid w:val="00A77D2E"/>
    <w:rsid w:val="00A77E2A"/>
    <w:rsid w:val="00A800C0"/>
    <w:rsid w:val="00A80955"/>
    <w:rsid w:val="00A8096D"/>
    <w:rsid w:val="00A80F4D"/>
    <w:rsid w:val="00A81046"/>
    <w:rsid w:val="00A8126B"/>
    <w:rsid w:val="00A813F7"/>
    <w:rsid w:val="00A81B90"/>
    <w:rsid w:val="00A81BE8"/>
    <w:rsid w:val="00A81E3A"/>
    <w:rsid w:val="00A81F07"/>
    <w:rsid w:val="00A82D3E"/>
    <w:rsid w:val="00A82F37"/>
    <w:rsid w:val="00A83507"/>
    <w:rsid w:val="00A83578"/>
    <w:rsid w:val="00A835D8"/>
    <w:rsid w:val="00A83690"/>
    <w:rsid w:val="00A83A82"/>
    <w:rsid w:val="00A8408E"/>
    <w:rsid w:val="00A841F3"/>
    <w:rsid w:val="00A84305"/>
    <w:rsid w:val="00A84DBF"/>
    <w:rsid w:val="00A84DC6"/>
    <w:rsid w:val="00A855ED"/>
    <w:rsid w:val="00A85E66"/>
    <w:rsid w:val="00A86BDE"/>
    <w:rsid w:val="00A870A8"/>
    <w:rsid w:val="00A87775"/>
    <w:rsid w:val="00A87D1E"/>
    <w:rsid w:val="00A903B5"/>
    <w:rsid w:val="00A909BA"/>
    <w:rsid w:val="00A90AAD"/>
    <w:rsid w:val="00A90D1C"/>
    <w:rsid w:val="00A90D98"/>
    <w:rsid w:val="00A9172B"/>
    <w:rsid w:val="00A919C5"/>
    <w:rsid w:val="00A91ABE"/>
    <w:rsid w:val="00A924F4"/>
    <w:rsid w:val="00A927D7"/>
    <w:rsid w:val="00A928DF"/>
    <w:rsid w:val="00A92932"/>
    <w:rsid w:val="00A92C40"/>
    <w:rsid w:val="00A92EF3"/>
    <w:rsid w:val="00A92F3D"/>
    <w:rsid w:val="00A94687"/>
    <w:rsid w:val="00A94938"/>
    <w:rsid w:val="00A951CF"/>
    <w:rsid w:val="00A952C4"/>
    <w:rsid w:val="00A955CB"/>
    <w:rsid w:val="00A95B06"/>
    <w:rsid w:val="00A95ECB"/>
    <w:rsid w:val="00A961E9"/>
    <w:rsid w:val="00A96FDB"/>
    <w:rsid w:val="00A971C3"/>
    <w:rsid w:val="00A97869"/>
    <w:rsid w:val="00AA11AE"/>
    <w:rsid w:val="00AA126E"/>
    <w:rsid w:val="00AA1544"/>
    <w:rsid w:val="00AA173F"/>
    <w:rsid w:val="00AA19C6"/>
    <w:rsid w:val="00AA1D30"/>
    <w:rsid w:val="00AA1F1D"/>
    <w:rsid w:val="00AA274A"/>
    <w:rsid w:val="00AA27AF"/>
    <w:rsid w:val="00AA2970"/>
    <w:rsid w:val="00AA3424"/>
    <w:rsid w:val="00AA3858"/>
    <w:rsid w:val="00AA5105"/>
    <w:rsid w:val="00AA5248"/>
    <w:rsid w:val="00AA552F"/>
    <w:rsid w:val="00AA55E2"/>
    <w:rsid w:val="00AA591D"/>
    <w:rsid w:val="00AA5F54"/>
    <w:rsid w:val="00AA6A0D"/>
    <w:rsid w:val="00AA6F13"/>
    <w:rsid w:val="00AA6F2C"/>
    <w:rsid w:val="00AA6FC6"/>
    <w:rsid w:val="00AA7468"/>
    <w:rsid w:val="00AA74BD"/>
    <w:rsid w:val="00AA7673"/>
    <w:rsid w:val="00AB0F09"/>
    <w:rsid w:val="00AB0FC1"/>
    <w:rsid w:val="00AB1023"/>
    <w:rsid w:val="00AB1B1C"/>
    <w:rsid w:val="00AB1DCA"/>
    <w:rsid w:val="00AB1DE8"/>
    <w:rsid w:val="00AB2537"/>
    <w:rsid w:val="00AB268D"/>
    <w:rsid w:val="00AB282C"/>
    <w:rsid w:val="00AB2A47"/>
    <w:rsid w:val="00AB2B6C"/>
    <w:rsid w:val="00AB2C4D"/>
    <w:rsid w:val="00AB2D1D"/>
    <w:rsid w:val="00AB3145"/>
    <w:rsid w:val="00AB334D"/>
    <w:rsid w:val="00AB3418"/>
    <w:rsid w:val="00AB34FF"/>
    <w:rsid w:val="00AB390A"/>
    <w:rsid w:val="00AB3B05"/>
    <w:rsid w:val="00AB3B4D"/>
    <w:rsid w:val="00AB3C9C"/>
    <w:rsid w:val="00AB3E19"/>
    <w:rsid w:val="00AB3F97"/>
    <w:rsid w:val="00AB4789"/>
    <w:rsid w:val="00AB48E1"/>
    <w:rsid w:val="00AB5104"/>
    <w:rsid w:val="00AB54F8"/>
    <w:rsid w:val="00AB59AA"/>
    <w:rsid w:val="00AB5A5D"/>
    <w:rsid w:val="00AB5A6F"/>
    <w:rsid w:val="00AB69B6"/>
    <w:rsid w:val="00AB7530"/>
    <w:rsid w:val="00AB7794"/>
    <w:rsid w:val="00AB7DA4"/>
    <w:rsid w:val="00AB7DC1"/>
    <w:rsid w:val="00AC007A"/>
    <w:rsid w:val="00AC064D"/>
    <w:rsid w:val="00AC06AB"/>
    <w:rsid w:val="00AC06D0"/>
    <w:rsid w:val="00AC0B93"/>
    <w:rsid w:val="00AC1249"/>
    <w:rsid w:val="00AC1D4D"/>
    <w:rsid w:val="00AC1FE3"/>
    <w:rsid w:val="00AC2345"/>
    <w:rsid w:val="00AC24B9"/>
    <w:rsid w:val="00AC27E9"/>
    <w:rsid w:val="00AC316B"/>
    <w:rsid w:val="00AC32B5"/>
    <w:rsid w:val="00AC3764"/>
    <w:rsid w:val="00AC404E"/>
    <w:rsid w:val="00AC407C"/>
    <w:rsid w:val="00AC4AE2"/>
    <w:rsid w:val="00AC5214"/>
    <w:rsid w:val="00AC5E9B"/>
    <w:rsid w:val="00AC66C4"/>
    <w:rsid w:val="00AC67D3"/>
    <w:rsid w:val="00AC6981"/>
    <w:rsid w:val="00AC79A7"/>
    <w:rsid w:val="00AC7B0C"/>
    <w:rsid w:val="00AC7D63"/>
    <w:rsid w:val="00AD0222"/>
    <w:rsid w:val="00AD02B4"/>
    <w:rsid w:val="00AD02ED"/>
    <w:rsid w:val="00AD04E0"/>
    <w:rsid w:val="00AD04FC"/>
    <w:rsid w:val="00AD0565"/>
    <w:rsid w:val="00AD08D5"/>
    <w:rsid w:val="00AD15C4"/>
    <w:rsid w:val="00AD196B"/>
    <w:rsid w:val="00AD1D67"/>
    <w:rsid w:val="00AD1E6E"/>
    <w:rsid w:val="00AD1EFA"/>
    <w:rsid w:val="00AD2243"/>
    <w:rsid w:val="00AD2439"/>
    <w:rsid w:val="00AD25B8"/>
    <w:rsid w:val="00AD32A7"/>
    <w:rsid w:val="00AD3644"/>
    <w:rsid w:val="00AD373D"/>
    <w:rsid w:val="00AD3778"/>
    <w:rsid w:val="00AD40A7"/>
    <w:rsid w:val="00AD4297"/>
    <w:rsid w:val="00AD42C4"/>
    <w:rsid w:val="00AD435E"/>
    <w:rsid w:val="00AD4BF0"/>
    <w:rsid w:val="00AD55DC"/>
    <w:rsid w:val="00AD5900"/>
    <w:rsid w:val="00AD5A01"/>
    <w:rsid w:val="00AD5D3E"/>
    <w:rsid w:val="00AD5FF6"/>
    <w:rsid w:val="00AD6B5A"/>
    <w:rsid w:val="00AD6CAE"/>
    <w:rsid w:val="00AD6CC2"/>
    <w:rsid w:val="00AD763F"/>
    <w:rsid w:val="00AD7676"/>
    <w:rsid w:val="00AD78BB"/>
    <w:rsid w:val="00AD7E3C"/>
    <w:rsid w:val="00AE063E"/>
    <w:rsid w:val="00AE0669"/>
    <w:rsid w:val="00AE0AF9"/>
    <w:rsid w:val="00AE0BAD"/>
    <w:rsid w:val="00AE10E9"/>
    <w:rsid w:val="00AE14CA"/>
    <w:rsid w:val="00AE1712"/>
    <w:rsid w:val="00AE177C"/>
    <w:rsid w:val="00AE1A2C"/>
    <w:rsid w:val="00AE1BB8"/>
    <w:rsid w:val="00AE2159"/>
    <w:rsid w:val="00AE2430"/>
    <w:rsid w:val="00AE2480"/>
    <w:rsid w:val="00AE2B66"/>
    <w:rsid w:val="00AE2BA9"/>
    <w:rsid w:val="00AE2D49"/>
    <w:rsid w:val="00AE3570"/>
    <w:rsid w:val="00AE3ABD"/>
    <w:rsid w:val="00AE3EB0"/>
    <w:rsid w:val="00AE41A5"/>
    <w:rsid w:val="00AE46DB"/>
    <w:rsid w:val="00AE488D"/>
    <w:rsid w:val="00AE48DF"/>
    <w:rsid w:val="00AE5023"/>
    <w:rsid w:val="00AE56F7"/>
    <w:rsid w:val="00AE5FED"/>
    <w:rsid w:val="00AE6214"/>
    <w:rsid w:val="00AE6479"/>
    <w:rsid w:val="00AE69BB"/>
    <w:rsid w:val="00AE732D"/>
    <w:rsid w:val="00AE769D"/>
    <w:rsid w:val="00AF0A3C"/>
    <w:rsid w:val="00AF0A8C"/>
    <w:rsid w:val="00AF1283"/>
    <w:rsid w:val="00AF142A"/>
    <w:rsid w:val="00AF14D9"/>
    <w:rsid w:val="00AF165E"/>
    <w:rsid w:val="00AF170A"/>
    <w:rsid w:val="00AF1CE8"/>
    <w:rsid w:val="00AF1EC4"/>
    <w:rsid w:val="00AF21B7"/>
    <w:rsid w:val="00AF3038"/>
    <w:rsid w:val="00AF33C0"/>
    <w:rsid w:val="00AF3A43"/>
    <w:rsid w:val="00AF4220"/>
    <w:rsid w:val="00AF4B83"/>
    <w:rsid w:val="00AF4BB4"/>
    <w:rsid w:val="00AF4D2A"/>
    <w:rsid w:val="00AF4E35"/>
    <w:rsid w:val="00AF5684"/>
    <w:rsid w:val="00AF5EBB"/>
    <w:rsid w:val="00AF5F2B"/>
    <w:rsid w:val="00AF679E"/>
    <w:rsid w:val="00AF68CA"/>
    <w:rsid w:val="00AF6C93"/>
    <w:rsid w:val="00AF7190"/>
    <w:rsid w:val="00AF723D"/>
    <w:rsid w:val="00B00C20"/>
    <w:rsid w:val="00B00D0F"/>
    <w:rsid w:val="00B00DB2"/>
    <w:rsid w:val="00B00F43"/>
    <w:rsid w:val="00B010ED"/>
    <w:rsid w:val="00B013C3"/>
    <w:rsid w:val="00B0171E"/>
    <w:rsid w:val="00B018CB"/>
    <w:rsid w:val="00B024C6"/>
    <w:rsid w:val="00B0250B"/>
    <w:rsid w:val="00B025F6"/>
    <w:rsid w:val="00B02903"/>
    <w:rsid w:val="00B02CB6"/>
    <w:rsid w:val="00B033EA"/>
    <w:rsid w:val="00B034D7"/>
    <w:rsid w:val="00B038AB"/>
    <w:rsid w:val="00B03CFC"/>
    <w:rsid w:val="00B03D76"/>
    <w:rsid w:val="00B046C7"/>
    <w:rsid w:val="00B04B18"/>
    <w:rsid w:val="00B04B5D"/>
    <w:rsid w:val="00B0502E"/>
    <w:rsid w:val="00B051CE"/>
    <w:rsid w:val="00B05AE6"/>
    <w:rsid w:val="00B06265"/>
    <w:rsid w:val="00B0649E"/>
    <w:rsid w:val="00B06C46"/>
    <w:rsid w:val="00B06D82"/>
    <w:rsid w:val="00B07045"/>
    <w:rsid w:val="00B078B6"/>
    <w:rsid w:val="00B078D1"/>
    <w:rsid w:val="00B07A86"/>
    <w:rsid w:val="00B1007C"/>
    <w:rsid w:val="00B1015A"/>
    <w:rsid w:val="00B101E3"/>
    <w:rsid w:val="00B1028D"/>
    <w:rsid w:val="00B10E05"/>
    <w:rsid w:val="00B11265"/>
    <w:rsid w:val="00B118C8"/>
    <w:rsid w:val="00B119FC"/>
    <w:rsid w:val="00B11D0B"/>
    <w:rsid w:val="00B11E2C"/>
    <w:rsid w:val="00B12567"/>
    <w:rsid w:val="00B12648"/>
    <w:rsid w:val="00B12811"/>
    <w:rsid w:val="00B1288C"/>
    <w:rsid w:val="00B129B1"/>
    <w:rsid w:val="00B12B16"/>
    <w:rsid w:val="00B12C3C"/>
    <w:rsid w:val="00B12F75"/>
    <w:rsid w:val="00B13202"/>
    <w:rsid w:val="00B133BF"/>
    <w:rsid w:val="00B133D2"/>
    <w:rsid w:val="00B13B5B"/>
    <w:rsid w:val="00B13BAD"/>
    <w:rsid w:val="00B13C9B"/>
    <w:rsid w:val="00B13FD6"/>
    <w:rsid w:val="00B14594"/>
    <w:rsid w:val="00B14731"/>
    <w:rsid w:val="00B147E5"/>
    <w:rsid w:val="00B1482E"/>
    <w:rsid w:val="00B14AC6"/>
    <w:rsid w:val="00B14B0F"/>
    <w:rsid w:val="00B15715"/>
    <w:rsid w:val="00B1573B"/>
    <w:rsid w:val="00B15AEE"/>
    <w:rsid w:val="00B15B7C"/>
    <w:rsid w:val="00B15EF9"/>
    <w:rsid w:val="00B15FC7"/>
    <w:rsid w:val="00B162CC"/>
    <w:rsid w:val="00B16D2C"/>
    <w:rsid w:val="00B16E80"/>
    <w:rsid w:val="00B16E93"/>
    <w:rsid w:val="00B16FC1"/>
    <w:rsid w:val="00B17284"/>
    <w:rsid w:val="00B17598"/>
    <w:rsid w:val="00B204C9"/>
    <w:rsid w:val="00B205AB"/>
    <w:rsid w:val="00B20AFC"/>
    <w:rsid w:val="00B20BF1"/>
    <w:rsid w:val="00B20C2F"/>
    <w:rsid w:val="00B20C8C"/>
    <w:rsid w:val="00B20CF3"/>
    <w:rsid w:val="00B20E33"/>
    <w:rsid w:val="00B20F8D"/>
    <w:rsid w:val="00B21CC8"/>
    <w:rsid w:val="00B2266A"/>
    <w:rsid w:val="00B227DE"/>
    <w:rsid w:val="00B234C6"/>
    <w:rsid w:val="00B238EC"/>
    <w:rsid w:val="00B2506D"/>
    <w:rsid w:val="00B25B6C"/>
    <w:rsid w:val="00B25BCE"/>
    <w:rsid w:val="00B25E6A"/>
    <w:rsid w:val="00B2664F"/>
    <w:rsid w:val="00B268E5"/>
    <w:rsid w:val="00B2697C"/>
    <w:rsid w:val="00B26DAA"/>
    <w:rsid w:val="00B27416"/>
    <w:rsid w:val="00B275BF"/>
    <w:rsid w:val="00B303FC"/>
    <w:rsid w:val="00B30412"/>
    <w:rsid w:val="00B3075A"/>
    <w:rsid w:val="00B3082E"/>
    <w:rsid w:val="00B30BDF"/>
    <w:rsid w:val="00B311B9"/>
    <w:rsid w:val="00B316B1"/>
    <w:rsid w:val="00B317EE"/>
    <w:rsid w:val="00B31FFB"/>
    <w:rsid w:val="00B329DB"/>
    <w:rsid w:val="00B32D6B"/>
    <w:rsid w:val="00B33659"/>
    <w:rsid w:val="00B33755"/>
    <w:rsid w:val="00B33EF6"/>
    <w:rsid w:val="00B33F18"/>
    <w:rsid w:val="00B34036"/>
    <w:rsid w:val="00B34B1E"/>
    <w:rsid w:val="00B34B30"/>
    <w:rsid w:val="00B34F61"/>
    <w:rsid w:val="00B354D1"/>
    <w:rsid w:val="00B35E8A"/>
    <w:rsid w:val="00B361BA"/>
    <w:rsid w:val="00B363EB"/>
    <w:rsid w:val="00B36479"/>
    <w:rsid w:val="00B367D6"/>
    <w:rsid w:val="00B36A6F"/>
    <w:rsid w:val="00B36E6D"/>
    <w:rsid w:val="00B37589"/>
    <w:rsid w:val="00B377E4"/>
    <w:rsid w:val="00B37850"/>
    <w:rsid w:val="00B37943"/>
    <w:rsid w:val="00B37A23"/>
    <w:rsid w:val="00B37BA9"/>
    <w:rsid w:val="00B37BCE"/>
    <w:rsid w:val="00B37D2F"/>
    <w:rsid w:val="00B37EA3"/>
    <w:rsid w:val="00B40B0E"/>
    <w:rsid w:val="00B40BD0"/>
    <w:rsid w:val="00B40BD8"/>
    <w:rsid w:val="00B40E78"/>
    <w:rsid w:val="00B40F88"/>
    <w:rsid w:val="00B4105B"/>
    <w:rsid w:val="00B4182D"/>
    <w:rsid w:val="00B41911"/>
    <w:rsid w:val="00B42C10"/>
    <w:rsid w:val="00B42E4E"/>
    <w:rsid w:val="00B433A9"/>
    <w:rsid w:val="00B4365A"/>
    <w:rsid w:val="00B43E2D"/>
    <w:rsid w:val="00B44667"/>
    <w:rsid w:val="00B448FC"/>
    <w:rsid w:val="00B44A87"/>
    <w:rsid w:val="00B44F4A"/>
    <w:rsid w:val="00B453AC"/>
    <w:rsid w:val="00B4564A"/>
    <w:rsid w:val="00B465CC"/>
    <w:rsid w:val="00B466A2"/>
    <w:rsid w:val="00B46BB9"/>
    <w:rsid w:val="00B46C8D"/>
    <w:rsid w:val="00B46FF6"/>
    <w:rsid w:val="00B4715F"/>
    <w:rsid w:val="00B4762E"/>
    <w:rsid w:val="00B47E1B"/>
    <w:rsid w:val="00B50D7C"/>
    <w:rsid w:val="00B51140"/>
    <w:rsid w:val="00B511DA"/>
    <w:rsid w:val="00B52032"/>
    <w:rsid w:val="00B521F1"/>
    <w:rsid w:val="00B5279B"/>
    <w:rsid w:val="00B52B46"/>
    <w:rsid w:val="00B53167"/>
    <w:rsid w:val="00B53860"/>
    <w:rsid w:val="00B53A1F"/>
    <w:rsid w:val="00B53CDA"/>
    <w:rsid w:val="00B5427B"/>
    <w:rsid w:val="00B5448B"/>
    <w:rsid w:val="00B54975"/>
    <w:rsid w:val="00B55007"/>
    <w:rsid w:val="00B5527B"/>
    <w:rsid w:val="00B556FD"/>
    <w:rsid w:val="00B55AE3"/>
    <w:rsid w:val="00B55D96"/>
    <w:rsid w:val="00B5635F"/>
    <w:rsid w:val="00B5655C"/>
    <w:rsid w:val="00B56BB5"/>
    <w:rsid w:val="00B56D54"/>
    <w:rsid w:val="00B57011"/>
    <w:rsid w:val="00B57612"/>
    <w:rsid w:val="00B57888"/>
    <w:rsid w:val="00B579E2"/>
    <w:rsid w:val="00B57DDD"/>
    <w:rsid w:val="00B604FB"/>
    <w:rsid w:val="00B60821"/>
    <w:rsid w:val="00B6108D"/>
    <w:rsid w:val="00B61369"/>
    <w:rsid w:val="00B619AD"/>
    <w:rsid w:val="00B61A15"/>
    <w:rsid w:val="00B621D9"/>
    <w:rsid w:val="00B6237D"/>
    <w:rsid w:val="00B63224"/>
    <w:rsid w:val="00B637AE"/>
    <w:rsid w:val="00B63E59"/>
    <w:rsid w:val="00B64723"/>
    <w:rsid w:val="00B64C67"/>
    <w:rsid w:val="00B654E0"/>
    <w:rsid w:val="00B6557D"/>
    <w:rsid w:val="00B6582B"/>
    <w:rsid w:val="00B65A1F"/>
    <w:rsid w:val="00B65A71"/>
    <w:rsid w:val="00B660CF"/>
    <w:rsid w:val="00B66196"/>
    <w:rsid w:val="00B66305"/>
    <w:rsid w:val="00B6631E"/>
    <w:rsid w:val="00B66B2E"/>
    <w:rsid w:val="00B66D5F"/>
    <w:rsid w:val="00B67113"/>
    <w:rsid w:val="00B6727C"/>
    <w:rsid w:val="00B67566"/>
    <w:rsid w:val="00B67859"/>
    <w:rsid w:val="00B67930"/>
    <w:rsid w:val="00B67E10"/>
    <w:rsid w:val="00B701C3"/>
    <w:rsid w:val="00B70424"/>
    <w:rsid w:val="00B7066F"/>
    <w:rsid w:val="00B7076C"/>
    <w:rsid w:val="00B708F4"/>
    <w:rsid w:val="00B70CA3"/>
    <w:rsid w:val="00B70EFF"/>
    <w:rsid w:val="00B71277"/>
    <w:rsid w:val="00B71327"/>
    <w:rsid w:val="00B71546"/>
    <w:rsid w:val="00B71B94"/>
    <w:rsid w:val="00B71B98"/>
    <w:rsid w:val="00B720F6"/>
    <w:rsid w:val="00B72585"/>
    <w:rsid w:val="00B72A0C"/>
    <w:rsid w:val="00B7351B"/>
    <w:rsid w:val="00B7394B"/>
    <w:rsid w:val="00B73E8D"/>
    <w:rsid w:val="00B74077"/>
    <w:rsid w:val="00B7421E"/>
    <w:rsid w:val="00B743BE"/>
    <w:rsid w:val="00B749F9"/>
    <w:rsid w:val="00B756DF"/>
    <w:rsid w:val="00B76D79"/>
    <w:rsid w:val="00B80573"/>
    <w:rsid w:val="00B807B3"/>
    <w:rsid w:val="00B80943"/>
    <w:rsid w:val="00B81D7A"/>
    <w:rsid w:val="00B82B25"/>
    <w:rsid w:val="00B833AA"/>
    <w:rsid w:val="00B83582"/>
    <w:rsid w:val="00B83885"/>
    <w:rsid w:val="00B83AE0"/>
    <w:rsid w:val="00B83B37"/>
    <w:rsid w:val="00B83D47"/>
    <w:rsid w:val="00B83D6A"/>
    <w:rsid w:val="00B83DC0"/>
    <w:rsid w:val="00B8403E"/>
    <w:rsid w:val="00B85890"/>
    <w:rsid w:val="00B85C4B"/>
    <w:rsid w:val="00B8653C"/>
    <w:rsid w:val="00B8678A"/>
    <w:rsid w:val="00B86C77"/>
    <w:rsid w:val="00B8704C"/>
    <w:rsid w:val="00B87543"/>
    <w:rsid w:val="00B875DB"/>
    <w:rsid w:val="00B876E8"/>
    <w:rsid w:val="00B87B05"/>
    <w:rsid w:val="00B87F4A"/>
    <w:rsid w:val="00B90280"/>
    <w:rsid w:val="00B90316"/>
    <w:rsid w:val="00B912E4"/>
    <w:rsid w:val="00B91E0C"/>
    <w:rsid w:val="00B91FFC"/>
    <w:rsid w:val="00B923B0"/>
    <w:rsid w:val="00B924D3"/>
    <w:rsid w:val="00B92772"/>
    <w:rsid w:val="00B932EC"/>
    <w:rsid w:val="00B9365A"/>
    <w:rsid w:val="00B94F70"/>
    <w:rsid w:val="00B953A1"/>
    <w:rsid w:val="00B95595"/>
    <w:rsid w:val="00B95C5D"/>
    <w:rsid w:val="00B96138"/>
    <w:rsid w:val="00B96594"/>
    <w:rsid w:val="00B96715"/>
    <w:rsid w:val="00B967BC"/>
    <w:rsid w:val="00B9729A"/>
    <w:rsid w:val="00B979E2"/>
    <w:rsid w:val="00B97B17"/>
    <w:rsid w:val="00B97B7A"/>
    <w:rsid w:val="00B97B99"/>
    <w:rsid w:val="00BA01C3"/>
    <w:rsid w:val="00BA0453"/>
    <w:rsid w:val="00BA04C4"/>
    <w:rsid w:val="00BA0941"/>
    <w:rsid w:val="00BA12E7"/>
    <w:rsid w:val="00BA13E4"/>
    <w:rsid w:val="00BA1ADD"/>
    <w:rsid w:val="00BA1BAE"/>
    <w:rsid w:val="00BA2049"/>
    <w:rsid w:val="00BA20BD"/>
    <w:rsid w:val="00BA20F5"/>
    <w:rsid w:val="00BA27CA"/>
    <w:rsid w:val="00BA28FD"/>
    <w:rsid w:val="00BA2C53"/>
    <w:rsid w:val="00BA3467"/>
    <w:rsid w:val="00BA388E"/>
    <w:rsid w:val="00BA3A30"/>
    <w:rsid w:val="00BA3B29"/>
    <w:rsid w:val="00BA438E"/>
    <w:rsid w:val="00BA43D5"/>
    <w:rsid w:val="00BA46BE"/>
    <w:rsid w:val="00BA4B66"/>
    <w:rsid w:val="00BA4BC3"/>
    <w:rsid w:val="00BA508C"/>
    <w:rsid w:val="00BA567E"/>
    <w:rsid w:val="00BA5B7E"/>
    <w:rsid w:val="00BA60B9"/>
    <w:rsid w:val="00BA68F7"/>
    <w:rsid w:val="00BA69D8"/>
    <w:rsid w:val="00BA6A60"/>
    <w:rsid w:val="00BA71B7"/>
    <w:rsid w:val="00BA7D61"/>
    <w:rsid w:val="00BB1000"/>
    <w:rsid w:val="00BB133B"/>
    <w:rsid w:val="00BB1396"/>
    <w:rsid w:val="00BB1B54"/>
    <w:rsid w:val="00BB1BEC"/>
    <w:rsid w:val="00BB1F21"/>
    <w:rsid w:val="00BB21BA"/>
    <w:rsid w:val="00BB27B4"/>
    <w:rsid w:val="00BB2BE4"/>
    <w:rsid w:val="00BB37D0"/>
    <w:rsid w:val="00BB3860"/>
    <w:rsid w:val="00BB395C"/>
    <w:rsid w:val="00BB396C"/>
    <w:rsid w:val="00BB3B24"/>
    <w:rsid w:val="00BB3BA0"/>
    <w:rsid w:val="00BB3BAD"/>
    <w:rsid w:val="00BB3D75"/>
    <w:rsid w:val="00BB3E70"/>
    <w:rsid w:val="00BB4DDB"/>
    <w:rsid w:val="00BB5576"/>
    <w:rsid w:val="00BB630D"/>
    <w:rsid w:val="00BB66AA"/>
    <w:rsid w:val="00BB68BD"/>
    <w:rsid w:val="00BB6AA6"/>
    <w:rsid w:val="00BB6CEF"/>
    <w:rsid w:val="00BB6D14"/>
    <w:rsid w:val="00BB6FA1"/>
    <w:rsid w:val="00BB718C"/>
    <w:rsid w:val="00BC0A7A"/>
    <w:rsid w:val="00BC1293"/>
    <w:rsid w:val="00BC155D"/>
    <w:rsid w:val="00BC18CB"/>
    <w:rsid w:val="00BC1E88"/>
    <w:rsid w:val="00BC25AD"/>
    <w:rsid w:val="00BC2F40"/>
    <w:rsid w:val="00BC39AD"/>
    <w:rsid w:val="00BC3B7B"/>
    <w:rsid w:val="00BC4476"/>
    <w:rsid w:val="00BC4A46"/>
    <w:rsid w:val="00BC4AE9"/>
    <w:rsid w:val="00BC4B56"/>
    <w:rsid w:val="00BC4CFD"/>
    <w:rsid w:val="00BC529D"/>
    <w:rsid w:val="00BC5388"/>
    <w:rsid w:val="00BC58B5"/>
    <w:rsid w:val="00BC674B"/>
    <w:rsid w:val="00BC6828"/>
    <w:rsid w:val="00BC6BBE"/>
    <w:rsid w:val="00BC70F2"/>
    <w:rsid w:val="00BC75F8"/>
    <w:rsid w:val="00BC7969"/>
    <w:rsid w:val="00BC798A"/>
    <w:rsid w:val="00BD0E86"/>
    <w:rsid w:val="00BD0F68"/>
    <w:rsid w:val="00BD137F"/>
    <w:rsid w:val="00BD24F1"/>
    <w:rsid w:val="00BD2511"/>
    <w:rsid w:val="00BD28F2"/>
    <w:rsid w:val="00BD3546"/>
    <w:rsid w:val="00BD386E"/>
    <w:rsid w:val="00BD3BAA"/>
    <w:rsid w:val="00BD3D94"/>
    <w:rsid w:val="00BD4251"/>
    <w:rsid w:val="00BD4934"/>
    <w:rsid w:val="00BD4F7D"/>
    <w:rsid w:val="00BD5004"/>
    <w:rsid w:val="00BD584D"/>
    <w:rsid w:val="00BD5949"/>
    <w:rsid w:val="00BD5CAD"/>
    <w:rsid w:val="00BD5DD4"/>
    <w:rsid w:val="00BD5EA8"/>
    <w:rsid w:val="00BD667D"/>
    <w:rsid w:val="00BD66F9"/>
    <w:rsid w:val="00BD681C"/>
    <w:rsid w:val="00BD6B16"/>
    <w:rsid w:val="00BD72FD"/>
    <w:rsid w:val="00BD75E1"/>
    <w:rsid w:val="00BD7639"/>
    <w:rsid w:val="00BD79B1"/>
    <w:rsid w:val="00BD7C5E"/>
    <w:rsid w:val="00BE0DD8"/>
    <w:rsid w:val="00BE149E"/>
    <w:rsid w:val="00BE18F1"/>
    <w:rsid w:val="00BE1F12"/>
    <w:rsid w:val="00BE268B"/>
    <w:rsid w:val="00BE2878"/>
    <w:rsid w:val="00BE303E"/>
    <w:rsid w:val="00BE308C"/>
    <w:rsid w:val="00BE3A47"/>
    <w:rsid w:val="00BE3E19"/>
    <w:rsid w:val="00BE4408"/>
    <w:rsid w:val="00BE466C"/>
    <w:rsid w:val="00BE4769"/>
    <w:rsid w:val="00BE495E"/>
    <w:rsid w:val="00BE597D"/>
    <w:rsid w:val="00BE59AF"/>
    <w:rsid w:val="00BE5C7D"/>
    <w:rsid w:val="00BE63ED"/>
    <w:rsid w:val="00BE680B"/>
    <w:rsid w:val="00BE68AC"/>
    <w:rsid w:val="00BE6AF8"/>
    <w:rsid w:val="00BE6E66"/>
    <w:rsid w:val="00BE7D75"/>
    <w:rsid w:val="00BF0F10"/>
    <w:rsid w:val="00BF14DC"/>
    <w:rsid w:val="00BF1697"/>
    <w:rsid w:val="00BF1B3B"/>
    <w:rsid w:val="00BF1CAF"/>
    <w:rsid w:val="00BF21B8"/>
    <w:rsid w:val="00BF2D70"/>
    <w:rsid w:val="00BF3088"/>
    <w:rsid w:val="00BF30ED"/>
    <w:rsid w:val="00BF3156"/>
    <w:rsid w:val="00BF34A9"/>
    <w:rsid w:val="00BF3938"/>
    <w:rsid w:val="00BF3B8F"/>
    <w:rsid w:val="00BF3BD0"/>
    <w:rsid w:val="00BF3D52"/>
    <w:rsid w:val="00BF3D8E"/>
    <w:rsid w:val="00BF3E37"/>
    <w:rsid w:val="00BF4868"/>
    <w:rsid w:val="00BF4B0B"/>
    <w:rsid w:val="00BF4D2A"/>
    <w:rsid w:val="00BF4D8C"/>
    <w:rsid w:val="00BF53D8"/>
    <w:rsid w:val="00BF5F8A"/>
    <w:rsid w:val="00BF63A7"/>
    <w:rsid w:val="00BF69F3"/>
    <w:rsid w:val="00BF6A66"/>
    <w:rsid w:val="00BF75D7"/>
    <w:rsid w:val="00BF773A"/>
    <w:rsid w:val="00BF77A3"/>
    <w:rsid w:val="00BF7842"/>
    <w:rsid w:val="00C00169"/>
    <w:rsid w:val="00C00549"/>
    <w:rsid w:val="00C00CE8"/>
    <w:rsid w:val="00C00D55"/>
    <w:rsid w:val="00C00DA6"/>
    <w:rsid w:val="00C010CE"/>
    <w:rsid w:val="00C01139"/>
    <w:rsid w:val="00C0190E"/>
    <w:rsid w:val="00C0218A"/>
    <w:rsid w:val="00C02678"/>
    <w:rsid w:val="00C02770"/>
    <w:rsid w:val="00C0278C"/>
    <w:rsid w:val="00C02829"/>
    <w:rsid w:val="00C02A37"/>
    <w:rsid w:val="00C02E07"/>
    <w:rsid w:val="00C02EA1"/>
    <w:rsid w:val="00C03067"/>
    <w:rsid w:val="00C033DD"/>
    <w:rsid w:val="00C036C6"/>
    <w:rsid w:val="00C04220"/>
    <w:rsid w:val="00C0433A"/>
    <w:rsid w:val="00C04899"/>
    <w:rsid w:val="00C0517E"/>
    <w:rsid w:val="00C05429"/>
    <w:rsid w:val="00C05529"/>
    <w:rsid w:val="00C060D3"/>
    <w:rsid w:val="00C0658A"/>
    <w:rsid w:val="00C065BC"/>
    <w:rsid w:val="00C069F6"/>
    <w:rsid w:val="00C06AC4"/>
    <w:rsid w:val="00C071A6"/>
    <w:rsid w:val="00C071CE"/>
    <w:rsid w:val="00C07311"/>
    <w:rsid w:val="00C0766B"/>
    <w:rsid w:val="00C076DE"/>
    <w:rsid w:val="00C079F7"/>
    <w:rsid w:val="00C07DF7"/>
    <w:rsid w:val="00C10A16"/>
    <w:rsid w:val="00C11374"/>
    <w:rsid w:val="00C115B2"/>
    <w:rsid w:val="00C116EA"/>
    <w:rsid w:val="00C11728"/>
    <w:rsid w:val="00C11B3B"/>
    <w:rsid w:val="00C11C9D"/>
    <w:rsid w:val="00C11DC0"/>
    <w:rsid w:val="00C11FFA"/>
    <w:rsid w:val="00C120A0"/>
    <w:rsid w:val="00C12DF0"/>
    <w:rsid w:val="00C13261"/>
    <w:rsid w:val="00C13594"/>
    <w:rsid w:val="00C13EBA"/>
    <w:rsid w:val="00C14192"/>
    <w:rsid w:val="00C142DE"/>
    <w:rsid w:val="00C1471F"/>
    <w:rsid w:val="00C1510E"/>
    <w:rsid w:val="00C15708"/>
    <w:rsid w:val="00C163C6"/>
    <w:rsid w:val="00C167CB"/>
    <w:rsid w:val="00C16AD3"/>
    <w:rsid w:val="00C16C16"/>
    <w:rsid w:val="00C16D9F"/>
    <w:rsid w:val="00C16E1E"/>
    <w:rsid w:val="00C17084"/>
    <w:rsid w:val="00C17304"/>
    <w:rsid w:val="00C174EA"/>
    <w:rsid w:val="00C17533"/>
    <w:rsid w:val="00C17EB9"/>
    <w:rsid w:val="00C20472"/>
    <w:rsid w:val="00C2082E"/>
    <w:rsid w:val="00C20883"/>
    <w:rsid w:val="00C20912"/>
    <w:rsid w:val="00C20B5B"/>
    <w:rsid w:val="00C21401"/>
    <w:rsid w:val="00C21A07"/>
    <w:rsid w:val="00C2269F"/>
    <w:rsid w:val="00C2270B"/>
    <w:rsid w:val="00C2290C"/>
    <w:rsid w:val="00C23608"/>
    <w:rsid w:val="00C23816"/>
    <w:rsid w:val="00C23A53"/>
    <w:rsid w:val="00C23CA9"/>
    <w:rsid w:val="00C24704"/>
    <w:rsid w:val="00C24C13"/>
    <w:rsid w:val="00C24DA7"/>
    <w:rsid w:val="00C24F72"/>
    <w:rsid w:val="00C257C9"/>
    <w:rsid w:val="00C25C7B"/>
    <w:rsid w:val="00C26300"/>
    <w:rsid w:val="00C26733"/>
    <w:rsid w:val="00C26971"/>
    <w:rsid w:val="00C26DD0"/>
    <w:rsid w:val="00C26EF7"/>
    <w:rsid w:val="00C26F08"/>
    <w:rsid w:val="00C272EF"/>
    <w:rsid w:val="00C274F7"/>
    <w:rsid w:val="00C275F1"/>
    <w:rsid w:val="00C277B2"/>
    <w:rsid w:val="00C27C9D"/>
    <w:rsid w:val="00C27E34"/>
    <w:rsid w:val="00C3034F"/>
    <w:rsid w:val="00C3067C"/>
    <w:rsid w:val="00C31524"/>
    <w:rsid w:val="00C3172F"/>
    <w:rsid w:val="00C31A64"/>
    <w:rsid w:val="00C31B43"/>
    <w:rsid w:val="00C3271C"/>
    <w:rsid w:val="00C328B0"/>
    <w:rsid w:val="00C32BF9"/>
    <w:rsid w:val="00C3302C"/>
    <w:rsid w:val="00C3313D"/>
    <w:rsid w:val="00C338FA"/>
    <w:rsid w:val="00C33C52"/>
    <w:rsid w:val="00C33DE3"/>
    <w:rsid w:val="00C34294"/>
    <w:rsid w:val="00C3513F"/>
    <w:rsid w:val="00C3517C"/>
    <w:rsid w:val="00C353B1"/>
    <w:rsid w:val="00C36254"/>
    <w:rsid w:val="00C362BD"/>
    <w:rsid w:val="00C36410"/>
    <w:rsid w:val="00C364D4"/>
    <w:rsid w:val="00C36811"/>
    <w:rsid w:val="00C36B99"/>
    <w:rsid w:val="00C36BFF"/>
    <w:rsid w:val="00C3762C"/>
    <w:rsid w:val="00C37974"/>
    <w:rsid w:val="00C37A1D"/>
    <w:rsid w:val="00C40110"/>
    <w:rsid w:val="00C40E1D"/>
    <w:rsid w:val="00C40FA6"/>
    <w:rsid w:val="00C41975"/>
    <w:rsid w:val="00C419A1"/>
    <w:rsid w:val="00C41B39"/>
    <w:rsid w:val="00C42300"/>
    <w:rsid w:val="00C426EC"/>
    <w:rsid w:val="00C4298F"/>
    <w:rsid w:val="00C42A9C"/>
    <w:rsid w:val="00C43213"/>
    <w:rsid w:val="00C43BF9"/>
    <w:rsid w:val="00C44663"/>
    <w:rsid w:val="00C446BC"/>
    <w:rsid w:val="00C44E4D"/>
    <w:rsid w:val="00C456E6"/>
    <w:rsid w:val="00C45E14"/>
    <w:rsid w:val="00C45E16"/>
    <w:rsid w:val="00C45F8E"/>
    <w:rsid w:val="00C46270"/>
    <w:rsid w:val="00C469E4"/>
    <w:rsid w:val="00C46A73"/>
    <w:rsid w:val="00C46BF0"/>
    <w:rsid w:val="00C46C9B"/>
    <w:rsid w:val="00C4723C"/>
    <w:rsid w:val="00C478E3"/>
    <w:rsid w:val="00C47929"/>
    <w:rsid w:val="00C47AB9"/>
    <w:rsid w:val="00C47F42"/>
    <w:rsid w:val="00C502BE"/>
    <w:rsid w:val="00C50876"/>
    <w:rsid w:val="00C50993"/>
    <w:rsid w:val="00C50B14"/>
    <w:rsid w:val="00C5131C"/>
    <w:rsid w:val="00C51F54"/>
    <w:rsid w:val="00C51FC7"/>
    <w:rsid w:val="00C522B0"/>
    <w:rsid w:val="00C527EF"/>
    <w:rsid w:val="00C5325B"/>
    <w:rsid w:val="00C53374"/>
    <w:rsid w:val="00C536B7"/>
    <w:rsid w:val="00C537A2"/>
    <w:rsid w:val="00C5382F"/>
    <w:rsid w:val="00C538DE"/>
    <w:rsid w:val="00C53B6A"/>
    <w:rsid w:val="00C540AB"/>
    <w:rsid w:val="00C54833"/>
    <w:rsid w:val="00C549BA"/>
    <w:rsid w:val="00C5537C"/>
    <w:rsid w:val="00C557B7"/>
    <w:rsid w:val="00C557EF"/>
    <w:rsid w:val="00C55A96"/>
    <w:rsid w:val="00C55DBD"/>
    <w:rsid w:val="00C55FA1"/>
    <w:rsid w:val="00C56507"/>
    <w:rsid w:val="00C5653C"/>
    <w:rsid w:val="00C56C0E"/>
    <w:rsid w:val="00C56C9C"/>
    <w:rsid w:val="00C56CCE"/>
    <w:rsid w:val="00C56DD0"/>
    <w:rsid w:val="00C57143"/>
    <w:rsid w:val="00C571A9"/>
    <w:rsid w:val="00C57D80"/>
    <w:rsid w:val="00C57F15"/>
    <w:rsid w:val="00C6059F"/>
    <w:rsid w:val="00C60A81"/>
    <w:rsid w:val="00C60BD7"/>
    <w:rsid w:val="00C60F23"/>
    <w:rsid w:val="00C611FD"/>
    <w:rsid w:val="00C613E4"/>
    <w:rsid w:val="00C616F3"/>
    <w:rsid w:val="00C6171E"/>
    <w:rsid w:val="00C617AE"/>
    <w:rsid w:val="00C622F5"/>
    <w:rsid w:val="00C62DAE"/>
    <w:rsid w:val="00C6422B"/>
    <w:rsid w:val="00C64577"/>
    <w:rsid w:val="00C64BE6"/>
    <w:rsid w:val="00C64EF5"/>
    <w:rsid w:val="00C65DD5"/>
    <w:rsid w:val="00C65EA5"/>
    <w:rsid w:val="00C66DB8"/>
    <w:rsid w:val="00C67496"/>
    <w:rsid w:val="00C679A0"/>
    <w:rsid w:val="00C70576"/>
    <w:rsid w:val="00C70687"/>
    <w:rsid w:val="00C708C1"/>
    <w:rsid w:val="00C710A7"/>
    <w:rsid w:val="00C7119D"/>
    <w:rsid w:val="00C712D7"/>
    <w:rsid w:val="00C71361"/>
    <w:rsid w:val="00C71392"/>
    <w:rsid w:val="00C713A5"/>
    <w:rsid w:val="00C713DC"/>
    <w:rsid w:val="00C718AF"/>
    <w:rsid w:val="00C71C0E"/>
    <w:rsid w:val="00C71C81"/>
    <w:rsid w:val="00C723FB"/>
    <w:rsid w:val="00C724E8"/>
    <w:rsid w:val="00C7294C"/>
    <w:rsid w:val="00C72A6D"/>
    <w:rsid w:val="00C73206"/>
    <w:rsid w:val="00C732F4"/>
    <w:rsid w:val="00C733CC"/>
    <w:rsid w:val="00C7375D"/>
    <w:rsid w:val="00C73771"/>
    <w:rsid w:val="00C740F4"/>
    <w:rsid w:val="00C747B7"/>
    <w:rsid w:val="00C74B3D"/>
    <w:rsid w:val="00C74D91"/>
    <w:rsid w:val="00C74F2A"/>
    <w:rsid w:val="00C75349"/>
    <w:rsid w:val="00C75447"/>
    <w:rsid w:val="00C75D65"/>
    <w:rsid w:val="00C77599"/>
    <w:rsid w:val="00C77889"/>
    <w:rsid w:val="00C77EB5"/>
    <w:rsid w:val="00C80101"/>
    <w:rsid w:val="00C803B4"/>
    <w:rsid w:val="00C8060E"/>
    <w:rsid w:val="00C81963"/>
    <w:rsid w:val="00C81A84"/>
    <w:rsid w:val="00C81BCF"/>
    <w:rsid w:val="00C824D7"/>
    <w:rsid w:val="00C828B6"/>
    <w:rsid w:val="00C829C1"/>
    <w:rsid w:val="00C83178"/>
    <w:rsid w:val="00C83AC8"/>
    <w:rsid w:val="00C83CC5"/>
    <w:rsid w:val="00C83D41"/>
    <w:rsid w:val="00C83EE5"/>
    <w:rsid w:val="00C83FB9"/>
    <w:rsid w:val="00C84356"/>
    <w:rsid w:val="00C848A9"/>
    <w:rsid w:val="00C84C8C"/>
    <w:rsid w:val="00C84CAA"/>
    <w:rsid w:val="00C8596E"/>
    <w:rsid w:val="00C85CB4"/>
    <w:rsid w:val="00C86FEE"/>
    <w:rsid w:val="00C8719B"/>
    <w:rsid w:val="00C874C8"/>
    <w:rsid w:val="00C876AE"/>
    <w:rsid w:val="00C87F9E"/>
    <w:rsid w:val="00C9076D"/>
    <w:rsid w:val="00C91A00"/>
    <w:rsid w:val="00C92467"/>
    <w:rsid w:val="00C9256A"/>
    <w:rsid w:val="00C92FF5"/>
    <w:rsid w:val="00C93016"/>
    <w:rsid w:val="00C93257"/>
    <w:rsid w:val="00C9339D"/>
    <w:rsid w:val="00C93E1E"/>
    <w:rsid w:val="00C942FF"/>
    <w:rsid w:val="00C944F9"/>
    <w:rsid w:val="00C94597"/>
    <w:rsid w:val="00C96690"/>
    <w:rsid w:val="00C96EB8"/>
    <w:rsid w:val="00C96F2D"/>
    <w:rsid w:val="00C97481"/>
    <w:rsid w:val="00C97E76"/>
    <w:rsid w:val="00C97E9A"/>
    <w:rsid w:val="00CA10B3"/>
    <w:rsid w:val="00CA12F7"/>
    <w:rsid w:val="00CA13CA"/>
    <w:rsid w:val="00CA1A65"/>
    <w:rsid w:val="00CA1B7D"/>
    <w:rsid w:val="00CA1FA0"/>
    <w:rsid w:val="00CA25CE"/>
    <w:rsid w:val="00CA2765"/>
    <w:rsid w:val="00CA27CC"/>
    <w:rsid w:val="00CA3E5F"/>
    <w:rsid w:val="00CA3E80"/>
    <w:rsid w:val="00CA4395"/>
    <w:rsid w:val="00CA4398"/>
    <w:rsid w:val="00CA4DA8"/>
    <w:rsid w:val="00CA51D0"/>
    <w:rsid w:val="00CA52E7"/>
    <w:rsid w:val="00CA57AF"/>
    <w:rsid w:val="00CA5862"/>
    <w:rsid w:val="00CA6013"/>
    <w:rsid w:val="00CA625F"/>
    <w:rsid w:val="00CA689B"/>
    <w:rsid w:val="00CA6CBA"/>
    <w:rsid w:val="00CA7971"/>
    <w:rsid w:val="00CB0167"/>
    <w:rsid w:val="00CB016D"/>
    <w:rsid w:val="00CB01F7"/>
    <w:rsid w:val="00CB03E7"/>
    <w:rsid w:val="00CB06D3"/>
    <w:rsid w:val="00CB06F6"/>
    <w:rsid w:val="00CB0B4B"/>
    <w:rsid w:val="00CB0DFA"/>
    <w:rsid w:val="00CB0F97"/>
    <w:rsid w:val="00CB189C"/>
    <w:rsid w:val="00CB18AB"/>
    <w:rsid w:val="00CB1AD6"/>
    <w:rsid w:val="00CB24A5"/>
    <w:rsid w:val="00CB2F89"/>
    <w:rsid w:val="00CB35E3"/>
    <w:rsid w:val="00CB39EC"/>
    <w:rsid w:val="00CB43EC"/>
    <w:rsid w:val="00CB4AD0"/>
    <w:rsid w:val="00CB4B68"/>
    <w:rsid w:val="00CB58F7"/>
    <w:rsid w:val="00CB64B2"/>
    <w:rsid w:val="00CB652D"/>
    <w:rsid w:val="00CB6872"/>
    <w:rsid w:val="00CB6B34"/>
    <w:rsid w:val="00CB6B56"/>
    <w:rsid w:val="00CB78B9"/>
    <w:rsid w:val="00CB78F6"/>
    <w:rsid w:val="00CB7C1C"/>
    <w:rsid w:val="00CC04D1"/>
    <w:rsid w:val="00CC133D"/>
    <w:rsid w:val="00CC13EE"/>
    <w:rsid w:val="00CC1415"/>
    <w:rsid w:val="00CC155E"/>
    <w:rsid w:val="00CC1670"/>
    <w:rsid w:val="00CC1830"/>
    <w:rsid w:val="00CC188B"/>
    <w:rsid w:val="00CC1A99"/>
    <w:rsid w:val="00CC1B95"/>
    <w:rsid w:val="00CC1E49"/>
    <w:rsid w:val="00CC1E6D"/>
    <w:rsid w:val="00CC221C"/>
    <w:rsid w:val="00CC2585"/>
    <w:rsid w:val="00CC2B86"/>
    <w:rsid w:val="00CC3749"/>
    <w:rsid w:val="00CC3AB9"/>
    <w:rsid w:val="00CC3D6F"/>
    <w:rsid w:val="00CC3E85"/>
    <w:rsid w:val="00CC41F7"/>
    <w:rsid w:val="00CC45B1"/>
    <w:rsid w:val="00CC4865"/>
    <w:rsid w:val="00CC49BD"/>
    <w:rsid w:val="00CC4C31"/>
    <w:rsid w:val="00CC549C"/>
    <w:rsid w:val="00CC55BB"/>
    <w:rsid w:val="00CC5867"/>
    <w:rsid w:val="00CC59AE"/>
    <w:rsid w:val="00CC59C4"/>
    <w:rsid w:val="00CC6688"/>
    <w:rsid w:val="00CC66C7"/>
    <w:rsid w:val="00CC715E"/>
    <w:rsid w:val="00CC79C4"/>
    <w:rsid w:val="00CD02CC"/>
    <w:rsid w:val="00CD0700"/>
    <w:rsid w:val="00CD0712"/>
    <w:rsid w:val="00CD0D13"/>
    <w:rsid w:val="00CD17A7"/>
    <w:rsid w:val="00CD19CB"/>
    <w:rsid w:val="00CD1A9D"/>
    <w:rsid w:val="00CD31C1"/>
    <w:rsid w:val="00CD3602"/>
    <w:rsid w:val="00CD38FD"/>
    <w:rsid w:val="00CD3B9E"/>
    <w:rsid w:val="00CD43D2"/>
    <w:rsid w:val="00CD451B"/>
    <w:rsid w:val="00CD4A70"/>
    <w:rsid w:val="00CD4AFB"/>
    <w:rsid w:val="00CD4B71"/>
    <w:rsid w:val="00CD4FAA"/>
    <w:rsid w:val="00CD4FB8"/>
    <w:rsid w:val="00CD538C"/>
    <w:rsid w:val="00CD59EE"/>
    <w:rsid w:val="00CD5D45"/>
    <w:rsid w:val="00CD5D52"/>
    <w:rsid w:val="00CD5FD5"/>
    <w:rsid w:val="00CD6489"/>
    <w:rsid w:val="00CD6A6F"/>
    <w:rsid w:val="00CD6C7D"/>
    <w:rsid w:val="00CD7136"/>
    <w:rsid w:val="00CD75AD"/>
    <w:rsid w:val="00CD79E7"/>
    <w:rsid w:val="00CD7C6B"/>
    <w:rsid w:val="00CD7F00"/>
    <w:rsid w:val="00CD7F1F"/>
    <w:rsid w:val="00CE0B1F"/>
    <w:rsid w:val="00CE1A68"/>
    <w:rsid w:val="00CE2207"/>
    <w:rsid w:val="00CE234B"/>
    <w:rsid w:val="00CE25CD"/>
    <w:rsid w:val="00CE2784"/>
    <w:rsid w:val="00CE2ED4"/>
    <w:rsid w:val="00CE347A"/>
    <w:rsid w:val="00CE38FC"/>
    <w:rsid w:val="00CE40F1"/>
    <w:rsid w:val="00CE42E6"/>
    <w:rsid w:val="00CE4389"/>
    <w:rsid w:val="00CE43D0"/>
    <w:rsid w:val="00CE45BF"/>
    <w:rsid w:val="00CE4798"/>
    <w:rsid w:val="00CE4B22"/>
    <w:rsid w:val="00CE4C33"/>
    <w:rsid w:val="00CE54D8"/>
    <w:rsid w:val="00CE57DE"/>
    <w:rsid w:val="00CE5909"/>
    <w:rsid w:val="00CE5ABE"/>
    <w:rsid w:val="00CE6017"/>
    <w:rsid w:val="00CE61B0"/>
    <w:rsid w:val="00CE6996"/>
    <w:rsid w:val="00CE6C30"/>
    <w:rsid w:val="00CE6D6C"/>
    <w:rsid w:val="00CE6E7E"/>
    <w:rsid w:val="00CE6F93"/>
    <w:rsid w:val="00CE71A0"/>
    <w:rsid w:val="00CE7204"/>
    <w:rsid w:val="00CE7F78"/>
    <w:rsid w:val="00CF046D"/>
    <w:rsid w:val="00CF09BE"/>
    <w:rsid w:val="00CF0AA8"/>
    <w:rsid w:val="00CF14D9"/>
    <w:rsid w:val="00CF1ED0"/>
    <w:rsid w:val="00CF20E0"/>
    <w:rsid w:val="00CF22C8"/>
    <w:rsid w:val="00CF239E"/>
    <w:rsid w:val="00CF299A"/>
    <w:rsid w:val="00CF2FC5"/>
    <w:rsid w:val="00CF31CA"/>
    <w:rsid w:val="00CF3420"/>
    <w:rsid w:val="00CF3B21"/>
    <w:rsid w:val="00CF3CCF"/>
    <w:rsid w:val="00CF3F40"/>
    <w:rsid w:val="00CF4174"/>
    <w:rsid w:val="00CF4196"/>
    <w:rsid w:val="00CF4374"/>
    <w:rsid w:val="00CF4424"/>
    <w:rsid w:val="00CF468B"/>
    <w:rsid w:val="00CF4A72"/>
    <w:rsid w:val="00CF4B16"/>
    <w:rsid w:val="00CF4D34"/>
    <w:rsid w:val="00CF5353"/>
    <w:rsid w:val="00CF53C5"/>
    <w:rsid w:val="00CF5944"/>
    <w:rsid w:val="00CF6486"/>
    <w:rsid w:val="00CF650F"/>
    <w:rsid w:val="00CF6599"/>
    <w:rsid w:val="00CF6762"/>
    <w:rsid w:val="00CF6807"/>
    <w:rsid w:val="00CF6D51"/>
    <w:rsid w:val="00CF7128"/>
    <w:rsid w:val="00CF71F6"/>
    <w:rsid w:val="00CF7C2F"/>
    <w:rsid w:val="00D00611"/>
    <w:rsid w:val="00D00E06"/>
    <w:rsid w:val="00D00ECC"/>
    <w:rsid w:val="00D0163B"/>
    <w:rsid w:val="00D01C57"/>
    <w:rsid w:val="00D01D16"/>
    <w:rsid w:val="00D02270"/>
    <w:rsid w:val="00D02666"/>
    <w:rsid w:val="00D02C47"/>
    <w:rsid w:val="00D02D42"/>
    <w:rsid w:val="00D02D6F"/>
    <w:rsid w:val="00D02DD9"/>
    <w:rsid w:val="00D032DD"/>
    <w:rsid w:val="00D03B4B"/>
    <w:rsid w:val="00D03CC5"/>
    <w:rsid w:val="00D03E0C"/>
    <w:rsid w:val="00D04074"/>
    <w:rsid w:val="00D0409C"/>
    <w:rsid w:val="00D0461D"/>
    <w:rsid w:val="00D046D3"/>
    <w:rsid w:val="00D047D4"/>
    <w:rsid w:val="00D048C3"/>
    <w:rsid w:val="00D048EC"/>
    <w:rsid w:val="00D04DFD"/>
    <w:rsid w:val="00D05286"/>
    <w:rsid w:val="00D05404"/>
    <w:rsid w:val="00D05642"/>
    <w:rsid w:val="00D05A24"/>
    <w:rsid w:val="00D05F0D"/>
    <w:rsid w:val="00D06141"/>
    <w:rsid w:val="00D06313"/>
    <w:rsid w:val="00D0647E"/>
    <w:rsid w:val="00D066DE"/>
    <w:rsid w:val="00D06A14"/>
    <w:rsid w:val="00D06AA2"/>
    <w:rsid w:val="00D075AB"/>
    <w:rsid w:val="00D07A3D"/>
    <w:rsid w:val="00D07F8F"/>
    <w:rsid w:val="00D102A3"/>
    <w:rsid w:val="00D1063B"/>
    <w:rsid w:val="00D119C4"/>
    <w:rsid w:val="00D119E8"/>
    <w:rsid w:val="00D11D5B"/>
    <w:rsid w:val="00D124F4"/>
    <w:rsid w:val="00D12A4E"/>
    <w:rsid w:val="00D136D2"/>
    <w:rsid w:val="00D13812"/>
    <w:rsid w:val="00D13963"/>
    <w:rsid w:val="00D13DD4"/>
    <w:rsid w:val="00D1462E"/>
    <w:rsid w:val="00D14F66"/>
    <w:rsid w:val="00D15234"/>
    <w:rsid w:val="00D152D7"/>
    <w:rsid w:val="00D1530A"/>
    <w:rsid w:val="00D16506"/>
    <w:rsid w:val="00D165CE"/>
    <w:rsid w:val="00D1673D"/>
    <w:rsid w:val="00D1731F"/>
    <w:rsid w:val="00D17DD8"/>
    <w:rsid w:val="00D204C2"/>
    <w:rsid w:val="00D20610"/>
    <w:rsid w:val="00D20849"/>
    <w:rsid w:val="00D208E8"/>
    <w:rsid w:val="00D20983"/>
    <w:rsid w:val="00D20A87"/>
    <w:rsid w:val="00D20B78"/>
    <w:rsid w:val="00D20BC8"/>
    <w:rsid w:val="00D20C3E"/>
    <w:rsid w:val="00D20DC9"/>
    <w:rsid w:val="00D215F2"/>
    <w:rsid w:val="00D216F4"/>
    <w:rsid w:val="00D21923"/>
    <w:rsid w:val="00D21B35"/>
    <w:rsid w:val="00D21CCE"/>
    <w:rsid w:val="00D22447"/>
    <w:rsid w:val="00D22AD5"/>
    <w:rsid w:val="00D22BD1"/>
    <w:rsid w:val="00D22EC8"/>
    <w:rsid w:val="00D22F31"/>
    <w:rsid w:val="00D22FF5"/>
    <w:rsid w:val="00D239BC"/>
    <w:rsid w:val="00D239EF"/>
    <w:rsid w:val="00D23B84"/>
    <w:rsid w:val="00D240DC"/>
    <w:rsid w:val="00D24470"/>
    <w:rsid w:val="00D2484D"/>
    <w:rsid w:val="00D249DE"/>
    <w:rsid w:val="00D24E0F"/>
    <w:rsid w:val="00D25200"/>
    <w:rsid w:val="00D2597F"/>
    <w:rsid w:val="00D25AD3"/>
    <w:rsid w:val="00D26FD9"/>
    <w:rsid w:val="00D2702A"/>
    <w:rsid w:val="00D276C7"/>
    <w:rsid w:val="00D27A8B"/>
    <w:rsid w:val="00D27FC3"/>
    <w:rsid w:val="00D305D3"/>
    <w:rsid w:val="00D30F87"/>
    <w:rsid w:val="00D3162C"/>
    <w:rsid w:val="00D3185C"/>
    <w:rsid w:val="00D31E5B"/>
    <w:rsid w:val="00D32075"/>
    <w:rsid w:val="00D324F0"/>
    <w:rsid w:val="00D337DD"/>
    <w:rsid w:val="00D337F0"/>
    <w:rsid w:val="00D33BA3"/>
    <w:rsid w:val="00D33D3F"/>
    <w:rsid w:val="00D34A73"/>
    <w:rsid w:val="00D34AFD"/>
    <w:rsid w:val="00D34CF2"/>
    <w:rsid w:val="00D34E37"/>
    <w:rsid w:val="00D354CE"/>
    <w:rsid w:val="00D3576D"/>
    <w:rsid w:val="00D35A3E"/>
    <w:rsid w:val="00D35A41"/>
    <w:rsid w:val="00D35D6D"/>
    <w:rsid w:val="00D35FB2"/>
    <w:rsid w:val="00D36C13"/>
    <w:rsid w:val="00D36EA7"/>
    <w:rsid w:val="00D376E0"/>
    <w:rsid w:val="00D37DD7"/>
    <w:rsid w:val="00D37F23"/>
    <w:rsid w:val="00D4006C"/>
    <w:rsid w:val="00D4009C"/>
    <w:rsid w:val="00D41043"/>
    <w:rsid w:val="00D41723"/>
    <w:rsid w:val="00D41BB7"/>
    <w:rsid w:val="00D421F6"/>
    <w:rsid w:val="00D422CD"/>
    <w:rsid w:val="00D42D85"/>
    <w:rsid w:val="00D42FF2"/>
    <w:rsid w:val="00D431FF"/>
    <w:rsid w:val="00D43246"/>
    <w:rsid w:val="00D4329E"/>
    <w:rsid w:val="00D436C7"/>
    <w:rsid w:val="00D438A2"/>
    <w:rsid w:val="00D439B6"/>
    <w:rsid w:val="00D43B52"/>
    <w:rsid w:val="00D4427A"/>
    <w:rsid w:val="00D4470F"/>
    <w:rsid w:val="00D45168"/>
    <w:rsid w:val="00D454D1"/>
    <w:rsid w:val="00D45551"/>
    <w:rsid w:val="00D45772"/>
    <w:rsid w:val="00D45D73"/>
    <w:rsid w:val="00D45FA5"/>
    <w:rsid w:val="00D462AA"/>
    <w:rsid w:val="00D46CCE"/>
    <w:rsid w:val="00D470FD"/>
    <w:rsid w:val="00D478F4"/>
    <w:rsid w:val="00D47D25"/>
    <w:rsid w:val="00D47D9D"/>
    <w:rsid w:val="00D501A0"/>
    <w:rsid w:val="00D5031A"/>
    <w:rsid w:val="00D50A53"/>
    <w:rsid w:val="00D515C5"/>
    <w:rsid w:val="00D5187B"/>
    <w:rsid w:val="00D5201E"/>
    <w:rsid w:val="00D5238E"/>
    <w:rsid w:val="00D52496"/>
    <w:rsid w:val="00D52504"/>
    <w:rsid w:val="00D52923"/>
    <w:rsid w:val="00D533D2"/>
    <w:rsid w:val="00D535F9"/>
    <w:rsid w:val="00D53B70"/>
    <w:rsid w:val="00D53EEB"/>
    <w:rsid w:val="00D53F2B"/>
    <w:rsid w:val="00D5413A"/>
    <w:rsid w:val="00D54904"/>
    <w:rsid w:val="00D54B5F"/>
    <w:rsid w:val="00D555CC"/>
    <w:rsid w:val="00D55DAC"/>
    <w:rsid w:val="00D5625B"/>
    <w:rsid w:val="00D5636F"/>
    <w:rsid w:val="00D5651D"/>
    <w:rsid w:val="00D5795C"/>
    <w:rsid w:val="00D57D57"/>
    <w:rsid w:val="00D57F45"/>
    <w:rsid w:val="00D601FF"/>
    <w:rsid w:val="00D604F4"/>
    <w:rsid w:val="00D607AC"/>
    <w:rsid w:val="00D6165B"/>
    <w:rsid w:val="00D625A1"/>
    <w:rsid w:val="00D626DE"/>
    <w:rsid w:val="00D62A32"/>
    <w:rsid w:val="00D62C04"/>
    <w:rsid w:val="00D6331E"/>
    <w:rsid w:val="00D6374D"/>
    <w:rsid w:val="00D63D58"/>
    <w:rsid w:val="00D63E8D"/>
    <w:rsid w:val="00D64189"/>
    <w:rsid w:val="00D643C5"/>
    <w:rsid w:val="00D64975"/>
    <w:rsid w:val="00D64DB2"/>
    <w:rsid w:val="00D655E8"/>
    <w:rsid w:val="00D65E0D"/>
    <w:rsid w:val="00D65E32"/>
    <w:rsid w:val="00D6604F"/>
    <w:rsid w:val="00D665F0"/>
    <w:rsid w:val="00D66A4E"/>
    <w:rsid w:val="00D66CCB"/>
    <w:rsid w:val="00D66D5C"/>
    <w:rsid w:val="00D67308"/>
    <w:rsid w:val="00D673A0"/>
    <w:rsid w:val="00D6772F"/>
    <w:rsid w:val="00D7005E"/>
    <w:rsid w:val="00D70201"/>
    <w:rsid w:val="00D70274"/>
    <w:rsid w:val="00D70592"/>
    <w:rsid w:val="00D70D07"/>
    <w:rsid w:val="00D71044"/>
    <w:rsid w:val="00D712BA"/>
    <w:rsid w:val="00D71581"/>
    <w:rsid w:val="00D71881"/>
    <w:rsid w:val="00D71CAC"/>
    <w:rsid w:val="00D71CC9"/>
    <w:rsid w:val="00D71D5B"/>
    <w:rsid w:val="00D71F95"/>
    <w:rsid w:val="00D72A06"/>
    <w:rsid w:val="00D72DD5"/>
    <w:rsid w:val="00D733D9"/>
    <w:rsid w:val="00D735CA"/>
    <w:rsid w:val="00D73835"/>
    <w:rsid w:val="00D73AC4"/>
    <w:rsid w:val="00D73AF3"/>
    <w:rsid w:val="00D73C3A"/>
    <w:rsid w:val="00D748A8"/>
    <w:rsid w:val="00D74A2F"/>
    <w:rsid w:val="00D74B3F"/>
    <w:rsid w:val="00D751A2"/>
    <w:rsid w:val="00D757DA"/>
    <w:rsid w:val="00D75FED"/>
    <w:rsid w:val="00D767AD"/>
    <w:rsid w:val="00D7690A"/>
    <w:rsid w:val="00D7726A"/>
    <w:rsid w:val="00D777E0"/>
    <w:rsid w:val="00D806AF"/>
    <w:rsid w:val="00D80BAF"/>
    <w:rsid w:val="00D812C3"/>
    <w:rsid w:val="00D81E01"/>
    <w:rsid w:val="00D82685"/>
    <w:rsid w:val="00D828A6"/>
    <w:rsid w:val="00D82B17"/>
    <w:rsid w:val="00D82D43"/>
    <w:rsid w:val="00D82FF8"/>
    <w:rsid w:val="00D8303E"/>
    <w:rsid w:val="00D83835"/>
    <w:rsid w:val="00D839E4"/>
    <w:rsid w:val="00D84A62"/>
    <w:rsid w:val="00D84E43"/>
    <w:rsid w:val="00D851BE"/>
    <w:rsid w:val="00D85319"/>
    <w:rsid w:val="00D854FA"/>
    <w:rsid w:val="00D857D9"/>
    <w:rsid w:val="00D85991"/>
    <w:rsid w:val="00D86E70"/>
    <w:rsid w:val="00D8716B"/>
    <w:rsid w:val="00D87276"/>
    <w:rsid w:val="00D87291"/>
    <w:rsid w:val="00D87DAA"/>
    <w:rsid w:val="00D900FE"/>
    <w:rsid w:val="00D9064F"/>
    <w:rsid w:val="00D9068D"/>
    <w:rsid w:val="00D90CBF"/>
    <w:rsid w:val="00D90F6B"/>
    <w:rsid w:val="00D90FD3"/>
    <w:rsid w:val="00D9135D"/>
    <w:rsid w:val="00D915B5"/>
    <w:rsid w:val="00D91985"/>
    <w:rsid w:val="00D919C2"/>
    <w:rsid w:val="00D925A8"/>
    <w:rsid w:val="00D92E3B"/>
    <w:rsid w:val="00D9316C"/>
    <w:rsid w:val="00D932FF"/>
    <w:rsid w:val="00D93952"/>
    <w:rsid w:val="00D93C2B"/>
    <w:rsid w:val="00D94287"/>
    <w:rsid w:val="00D942EC"/>
    <w:rsid w:val="00D94B86"/>
    <w:rsid w:val="00D94DC1"/>
    <w:rsid w:val="00D94DFB"/>
    <w:rsid w:val="00D9510B"/>
    <w:rsid w:val="00D95143"/>
    <w:rsid w:val="00D95794"/>
    <w:rsid w:val="00D95933"/>
    <w:rsid w:val="00D96407"/>
    <w:rsid w:val="00D966C6"/>
    <w:rsid w:val="00D96B24"/>
    <w:rsid w:val="00D96BFC"/>
    <w:rsid w:val="00D96E79"/>
    <w:rsid w:val="00D972AE"/>
    <w:rsid w:val="00D974BA"/>
    <w:rsid w:val="00D975A6"/>
    <w:rsid w:val="00D9768D"/>
    <w:rsid w:val="00DA0161"/>
    <w:rsid w:val="00DA0366"/>
    <w:rsid w:val="00DA1040"/>
    <w:rsid w:val="00DA10EB"/>
    <w:rsid w:val="00DA1239"/>
    <w:rsid w:val="00DA12AF"/>
    <w:rsid w:val="00DA1947"/>
    <w:rsid w:val="00DA2914"/>
    <w:rsid w:val="00DA29AA"/>
    <w:rsid w:val="00DA29C1"/>
    <w:rsid w:val="00DA2C7B"/>
    <w:rsid w:val="00DA2FB7"/>
    <w:rsid w:val="00DA2FE7"/>
    <w:rsid w:val="00DA36B7"/>
    <w:rsid w:val="00DA402F"/>
    <w:rsid w:val="00DA4AB4"/>
    <w:rsid w:val="00DA4AD1"/>
    <w:rsid w:val="00DA4C2C"/>
    <w:rsid w:val="00DA4EF6"/>
    <w:rsid w:val="00DA527A"/>
    <w:rsid w:val="00DA5299"/>
    <w:rsid w:val="00DA5620"/>
    <w:rsid w:val="00DA5FD2"/>
    <w:rsid w:val="00DA6599"/>
    <w:rsid w:val="00DA6AE2"/>
    <w:rsid w:val="00DA6C01"/>
    <w:rsid w:val="00DA6F93"/>
    <w:rsid w:val="00DA6FF3"/>
    <w:rsid w:val="00DA6FF4"/>
    <w:rsid w:val="00DA70B9"/>
    <w:rsid w:val="00DA70FB"/>
    <w:rsid w:val="00DA73E0"/>
    <w:rsid w:val="00DA74D1"/>
    <w:rsid w:val="00DA791E"/>
    <w:rsid w:val="00DA79F8"/>
    <w:rsid w:val="00DA7B81"/>
    <w:rsid w:val="00DA7D40"/>
    <w:rsid w:val="00DB017D"/>
    <w:rsid w:val="00DB05B9"/>
    <w:rsid w:val="00DB0BCB"/>
    <w:rsid w:val="00DB10B9"/>
    <w:rsid w:val="00DB11D9"/>
    <w:rsid w:val="00DB172B"/>
    <w:rsid w:val="00DB1A64"/>
    <w:rsid w:val="00DB1CA1"/>
    <w:rsid w:val="00DB1EE0"/>
    <w:rsid w:val="00DB22B4"/>
    <w:rsid w:val="00DB232F"/>
    <w:rsid w:val="00DB2F5B"/>
    <w:rsid w:val="00DB30DA"/>
    <w:rsid w:val="00DB34F2"/>
    <w:rsid w:val="00DB3BA9"/>
    <w:rsid w:val="00DB4169"/>
    <w:rsid w:val="00DB4284"/>
    <w:rsid w:val="00DB47D2"/>
    <w:rsid w:val="00DB4BCE"/>
    <w:rsid w:val="00DB4F2A"/>
    <w:rsid w:val="00DB55A3"/>
    <w:rsid w:val="00DB5637"/>
    <w:rsid w:val="00DB586B"/>
    <w:rsid w:val="00DB58BB"/>
    <w:rsid w:val="00DB5EA7"/>
    <w:rsid w:val="00DB610C"/>
    <w:rsid w:val="00DB646C"/>
    <w:rsid w:val="00DB65F1"/>
    <w:rsid w:val="00DB6B3F"/>
    <w:rsid w:val="00DB6D15"/>
    <w:rsid w:val="00DB6D96"/>
    <w:rsid w:val="00DB7564"/>
    <w:rsid w:val="00DB7C0C"/>
    <w:rsid w:val="00DC0C28"/>
    <w:rsid w:val="00DC1022"/>
    <w:rsid w:val="00DC1278"/>
    <w:rsid w:val="00DC1606"/>
    <w:rsid w:val="00DC2412"/>
    <w:rsid w:val="00DC2CDE"/>
    <w:rsid w:val="00DC2F09"/>
    <w:rsid w:val="00DC30F0"/>
    <w:rsid w:val="00DC314E"/>
    <w:rsid w:val="00DC436D"/>
    <w:rsid w:val="00DC457F"/>
    <w:rsid w:val="00DC4A8C"/>
    <w:rsid w:val="00DC505A"/>
    <w:rsid w:val="00DC5157"/>
    <w:rsid w:val="00DC56B4"/>
    <w:rsid w:val="00DC598B"/>
    <w:rsid w:val="00DC599F"/>
    <w:rsid w:val="00DC5CBD"/>
    <w:rsid w:val="00DC6073"/>
    <w:rsid w:val="00DC60F3"/>
    <w:rsid w:val="00DC65DF"/>
    <w:rsid w:val="00DC6BAC"/>
    <w:rsid w:val="00DC6D80"/>
    <w:rsid w:val="00DC7E9E"/>
    <w:rsid w:val="00DD0C27"/>
    <w:rsid w:val="00DD15C2"/>
    <w:rsid w:val="00DD1EE0"/>
    <w:rsid w:val="00DD20FC"/>
    <w:rsid w:val="00DD24B7"/>
    <w:rsid w:val="00DD2631"/>
    <w:rsid w:val="00DD2718"/>
    <w:rsid w:val="00DD2C08"/>
    <w:rsid w:val="00DD2CF6"/>
    <w:rsid w:val="00DD312E"/>
    <w:rsid w:val="00DD322F"/>
    <w:rsid w:val="00DD3B96"/>
    <w:rsid w:val="00DD4217"/>
    <w:rsid w:val="00DD423D"/>
    <w:rsid w:val="00DD43E2"/>
    <w:rsid w:val="00DD4A31"/>
    <w:rsid w:val="00DD515D"/>
    <w:rsid w:val="00DD518A"/>
    <w:rsid w:val="00DD537E"/>
    <w:rsid w:val="00DD5749"/>
    <w:rsid w:val="00DD5B38"/>
    <w:rsid w:val="00DD60C3"/>
    <w:rsid w:val="00DD6FD0"/>
    <w:rsid w:val="00DD7530"/>
    <w:rsid w:val="00DD7FB9"/>
    <w:rsid w:val="00DE0107"/>
    <w:rsid w:val="00DE0B99"/>
    <w:rsid w:val="00DE0E22"/>
    <w:rsid w:val="00DE0E6E"/>
    <w:rsid w:val="00DE0EED"/>
    <w:rsid w:val="00DE0F1A"/>
    <w:rsid w:val="00DE1267"/>
    <w:rsid w:val="00DE15DA"/>
    <w:rsid w:val="00DE1896"/>
    <w:rsid w:val="00DE18A8"/>
    <w:rsid w:val="00DE1C9A"/>
    <w:rsid w:val="00DE1D14"/>
    <w:rsid w:val="00DE203E"/>
    <w:rsid w:val="00DE20D1"/>
    <w:rsid w:val="00DE2330"/>
    <w:rsid w:val="00DE2436"/>
    <w:rsid w:val="00DE2733"/>
    <w:rsid w:val="00DE2A07"/>
    <w:rsid w:val="00DE32E3"/>
    <w:rsid w:val="00DE344B"/>
    <w:rsid w:val="00DE365F"/>
    <w:rsid w:val="00DE3670"/>
    <w:rsid w:val="00DE3D1B"/>
    <w:rsid w:val="00DE3D29"/>
    <w:rsid w:val="00DE3E36"/>
    <w:rsid w:val="00DE4738"/>
    <w:rsid w:val="00DE4FC7"/>
    <w:rsid w:val="00DE5AC9"/>
    <w:rsid w:val="00DE5D0D"/>
    <w:rsid w:val="00DE5F8B"/>
    <w:rsid w:val="00DE6804"/>
    <w:rsid w:val="00DE793A"/>
    <w:rsid w:val="00DE7CE7"/>
    <w:rsid w:val="00DF0503"/>
    <w:rsid w:val="00DF0818"/>
    <w:rsid w:val="00DF0965"/>
    <w:rsid w:val="00DF1011"/>
    <w:rsid w:val="00DF1342"/>
    <w:rsid w:val="00DF18D3"/>
    <w:rsid w:val="00DF19BD"/>
    <w:rsid w:val="00DF1A57"/>
    <w:rsid w:val="00DF21CA"/>
    <w:rsid w:val="00DF2D8F"/>
    <w:rsid w:val="00DF3163"/>
    <w:rsid w:val="00DF31E6"/>
    <w:rsid w:val="00DF3724"/>
    <w:rsid w:val="00DF37CF"/>
    <w:rsid w:val="00DF394A"/>
    <w:rsid w:val="00DF4E74"/>
    <w:rsid w:val="00DF4F2C"/>
    <w:rsid w:val="00DF4F40"/>
    <w:rsid w:val="00DF5074"/>
    <w:rsid w:val="00DF55F1"/>
    <w:rsid w:val="00DF5862"/>
    <w:rsid w:val="00DF5964"/>
    <w:rsid w:val="00DF5A21"/>
    <w:rsid w:val="00DF5A70"/>
    <w:rsid w:val="00DF5B4E"/>
    <w:rsid w:val="00DF5DDD"/>
    <w:rsid w:val="00DF60C3"/>
    <w:rsid w:val="00DF62FC"/>
    <w:rsid w:val="00DF649C"/>
    <w:rsid w:val="00DF692D"/>
    <w:rsid w:val="00DF6FB3"/>
    <w:rsid w:val="00DF728F"/>
    <w:rsid w:val="00DF781E"/>
    <w:rsid w:val="00DF7878"/>
    <w:rsid w:val="00DF78D7"/>
    <w:rsid w:val="00DF7910"/>
    <w:rsid w:val="00DF7CE1"/>
    <w:rsid w:val="00E00270"/>
    <w:rsid w:val="00E0047A"/>
    <w:rsid w:val="00E0057F"/>
    <w:rsid w:val="00E006CE"/>
    <w:rsid w:val="00E00893"/>
    <w:rsid w:val="00E008FA"/>
    <w:rsid w:val="00E00B12"/>
    <w:rsid w:val="00E00E25"/>
    <w:rsid w:val="00E0145D"/>
    <w:rsid w:val="00E01D53"/>
    <w:rsid w:val="00E02301"/>
    <w:rsid w:val="00E02D0E"/>
    <w:rsid w:val="00E02F2E"/>
    <w:rsid w:val="00E038B1"/>
    <w:rsid w:val="00E03F21"/>
    <w:rsid w:val="00E04012"/>
    <w:rsid w:val="00E05067"/>
    <w:rsid w:val="00E05D6C"/>
    <w:rsid w:val="00E05EE5"/>
    <w:rsid w:val="00E06A34"/>
    <w:rsid w:val="00E0785E"/>
    <w:rsid w:val="00E0789F"/>
    <w:rsid w:val="00E07B42"/>
    <w:rsid w:val="00E108F3"/>
    <w:rsid w:val="00E10E9A"/>
    <w:rsid w:val="00E11258"/>
    <w:rsid w:val="00E113E2"/>
    <w:rsid w:val="00E1157E"/>
    <w:rsid w:val="00E11979"/>
    <w:rsid w:val="00E12074"/>
    <w:rsid w:val="00E1280A"/>
    <w:rsid w:val="00E1286D"/>
    <w:rsid w:val="00E12E16"/>
    <w:rsid w:val="00E13B27"/>
    <w:rsid w:val="00E14045"/>
    <w:rsid w:val="00E14387"/>
    <w:rsid w:val="00E14850"/>
    <w:rsid w:val="00E14BF2"/>
    <w:rsid w:val="00E1512E"/>
    <w:rsid w:val="00E161A6"/>
    <w:rsid w:val="00E16301"/>
    <w:rsid w:val="00E165C7"/>
    <w:rsid w:val="00E16890"/>
    <w:rsid w:val="00E16A90"/>
    <w:rsid w:val="00E16C7B"/>
    <w:rsid w:val="00E16D28"/>
    <w:rsid w:val="00E17BAF"/>
    <w:rsid w:val="00E20236"/>
    <w:rsid w:val="00E206FF"/>
    <w:rsid w:val="00E207E4"/>
    <w:rsid w:val="00E20A84"/>
    <w:rsid w:val="00E20C0A"/>
    <w:rsid w:val="00E20E16"/>
    <w:rsid w:val="00E213B6"/>
    <w:rsid w:val="00E213C8"/>
    <w:rsid w:val="00E21741"/>
    <w:rsid w:val="00E21C86"/>
    <w:rsid w:val="00E226D4"/>
    <w:rsid w:val="00E22707"/>
    <w:rsid w:val="00E23364"/>
    <w:rsid w:val="00E2375F"/>
    <w:rsid w:val="00E238C3"/>
    <w:rsid w:val="00E23DB2"/>
    <w:rsid w:val="00E23EE1"/>
    <w:rsid w:val="00E23F8F"/>
    <w:rsid w:val="00E24A7F"/>
    <w:rsid w:val="00E25616"/>
    <w:rsid w:val="00E2603B"/>
    <w:rsid w:val="00E26138"/>
    <w:rsid w:val="00E26789"/>
    <w:rsid w:val="00E2694C"/>
    <w:rsid w:val="00E27EB2"/>
    <w:rsid w:val="00E30000"/>
    <w:rsid w:val="00E3155E"/>
    <w:rsid w:val="00E315F1"/>
    <w:rsid w:val="00E31773"/>
    <w:rsid w:val="00E31B1B"/>
    <w:rsid w:val="00E31BC5"/>
    <w:rsid w:val="00E31D7F"/>
    <w:rsid w:val="00E320FA"/>
    <w:rsid w:val="00E32A0B"/>
    <w:rsid w:val="00E32CCD"/>
    <w:rsid w:val="00E32E4F"/>
    <w:rsid w:val="00E32E91"/>
    <w:rsid w:val="00E3312A"/>
    <w:rsid w:val="00E333B4"/>
    <w:rsid w:val="00E33A44"/>
    <w:rsid w:val="00E344CD"/>
    <w:rsid w:val="00E34CD6"/>
    <w:rsid w:val="00E35131"/>
    <w:rsid w:val="00E3542B"/>
    <w:rsid w:val="00E35575"/>
    <w:rsid w:val="00E359F2"/>
    <w:rsid w:val="00E35C3E"/>
    <w:rsid w:val="00E35CDE"/>
    <w:rsid w:val="00E35FFB"/>
    <w:rsid w:val="00E36495"/>
    <w:rsid w:val="00E36F0A"/>
    <w:rsid w:val="00E3783A"/>
    <w:rsid w:val="00E37D10"/>
    <w:rsid w:val="00E40768"/>
    <w:rsid w:val="00E40F50"/>
    <w:rsid w:val="00E4102C"/>
    <w:rsid w:val="00E41378"/>
    <w:rsid w:val="00E414ED"/>
    <w:rsid w:val="00E41879"/>
    <w:rsid w:val="00E41A6D"/>
    <w:rsid w:val="00E41BD5"/>
    <w:rsid w:val="00E427A7"/>
    <w:rsid w:val="00E42B1F"/>
    <w:rsid w:val="00E42BBC"/>
    <w:rsid w:val="00E42DBF"/>
    <w:rsid w:val="00E43247"/>
    <w:rsid w:val="00E434FB"/>
    <w:rsid w:val="00E43D48"/>
    <w:rsid w:val="00E4492C"/>
    <w:rsid w:val="00E44C58"/>
    <w:rsid w:val="00E44DA5"/>
    <w:rsid w:val="00E4514A"/>
    <w:rsid w:val="00E4601B"/>
    <w:rsid w:val="00E4642E"/>
    <w:rsid w:val="00E4655A"/>
    <w:rsid w:val="00E46699"/>
    <w:rsid w:val="00E50437"/>
    <w:rsid w:val="00E504A9"/>
    <w:rsid w:val="00E50616"/>
    <w:rsid w:val="00E50AAA"/>
    <w:rsid w:val="00E50F6E"/>
    <w:rsid w:val="00E51282"/>
    <w:rsid w:val="00E5136E"/>
    <w:rsid w:val="00E51735"/>
    <w:rsid w:val="00E518E7"/>
    <w:rsid w:val="00E51CC6"/>
    <w:rsid w:val="00E51FE4"/>
    <w:rsid w:val="00E52226"/>
    <w:rsid w:val="00E530DA"/>
    <w:rsid w:val="00E53603"/>
    <w:rsid w:val="00E53627"/>
    <w:rsid w:val="00E53877"/>
    <w:rsid w:val="00E53C26"/>
    <w:rsid w:val="00E53E98"/>
    <w:rsid w:val="00E5402C"/>
    <w:rsid w:val="00E544A5"/>
    <w:rsid w:val="00E54606"/>
    <w:rsid w:val="00E549C3"/>
    <w:rsid w:val="00E54EDA"/>
    <w:rsid w:val="00E54F46"/>
    <w:rsid w:val="00E54FF8"/>
    <w:rsid w:val="00E55208"/>
    <w:rsid w:val="00E557A5"/>
    <w:rsid w:val="00E558F6"/>
    <w:rsid w:val="00E5672E"/>
    <w:rsid w:val="00E56E2E"/>
    <w:rsid w:val="00E57508"/>
    <w:rsid w:val="00E576D9"/>
    <w:rsid w:val="00E57981"/>
    <w:rsid w:val="00E60717"/>
    <w:rsid w:val="00E609F9"/>
    <w:rsid w:val="00E61032"/>
    <w:rsid w:val="00E615BA"/>
    <w:rsid w:val="00E61639"/>
    <w:rsid w:val="00E61963"/>
    <w:rsid w:val="00E61CC2"/>
    <w:rsid w:val="00E61DD1"/>
    <w:rsid w:val="00E626AB"/>
    <w:rsid w:val="00E626C6"/>
    <w:rsid w:val="00E628F9"/>
    <w:rsid w:val="00E62C76"/>
    <w:rsid w:val="00E62D2A"/>
    <w:rsid w:val="00E62E33"/>
    <w:rsid w:val="00E630F4"/>
    <w:rsid w:val="00E63105"/>
    <w:rsid w:val="00E633C4"/>
    <w:rsid w:val="00E63BDA"/>
    <w:rsid w:val="00E63F86"/>
    <w:rsid w:val="00E64437"/>
    <w:rsid w:val="00E64800"/>
    <w:rsid w:val="00E64953"/>
    <w:rsid w:val="00E64987"/>
    <w:rsid w:val="00E649DB"/>
    <w:rsid w:val="00E64A90"/>
    <w:rsid w:val="00E64BCE"/>
    <w:rsid w:val="00E64F91"/>
    <w:rsid w:val="00E65195"/>
    <w:rsid w:val="00E6592E"/>
    <w:rsid w:val="00E65B52"/>
    <w:rsid w:val="00E6640E"/>
    <w:rsid w:val="00E6672E"/>
    <w:rsid w:val="00E668D2"/>
    <w:rsid w:val="00E6690D"/>
    <w:rsid w:val="00E669CE"/>
    <w:rsid w:val="00E66B10"/>
    <w:rsid w:val="00E67179"/>
    <w:rsid w:val="00E671F2"/>
    <w:rsid w:val="00E67FB6"/>
    <w:rsid w:val="00E70744"/>
    <w:rsid w:val="00E709BC"/>
    <w:rsid w:val="00E70CE0"/>
    <w:rsid w:val="00E70D03"/>
    <w:rsid w:val="00E70F54"/>
    <w:rsid w:val="00E71631"/>
    <w:rsid w:val="00E71686"/>
    <w:rsid w:val="00E71E47"/>
    <w:rsid w:val="00E71EA0"/>
    <w:rsid w:val="00E7237B"/>
    <w:rsid w:val="00E724ED"/>
    <w:rsid w:val="00E729FB"/>
    <w:rsid w:val="00E72A67"/>
    <w:rsid w:val="00E72C91"/>
    <w:rsid w:val="00E731ED"/>
    <w:rsid w:val="00E73561"/>
    <w:rsid w:val="00E736E9"/>
    <w:rsid w:val="00E738B9"/>
    <w:rsid w:val="00E73AC2"/>
    <w:rsid w:val="00E73E51"/>
    <w:rsid w:val="00E74001"/>
    <w:rsid w:val="00E740F9"/>
    <w:rsid w:val="00E7474A"/>
    <w:rsid w:val="00E747FE"/>
    <w:rsid w:val="00E7482C"/>
    <w:rsid w:val="00E74A5C"/>
    <w:rsid w:val="00E74AF2"/>
    <w:rsid w:val="00E74D08"/>
    <w:rsid w:val="00E757BB"/>
    <w:rsid w:val="00E75B3E"/>
    <w:rsid w:val="00E75D06"/>
    <w:rsid w:val="00E76451"/>
    <w:rsid w:val="00E76887"/>
    <w:rsid w:val="00E76B12"/>
    <w:rsid w:val="00E77541"/>
    <w:rsid w:val="00E7788C"/>
    <w:rsid w:val="00E77D62"/>
    <w:rsid w:val="00E77F0A"/>
    <w:rsid w:val="00E801BF"/>
    <w:rsid w:val="00E801E6"/>
    <w:rsid w:val="00E8043D"/>
    <w:rsid w:val="00E807C3"/>
    <w:rsid w:val="00E80D96"/>
    <w:rsid w:val="00E810CA"/>
    <w:rsid w:val="00E818F5"/>
    <w:rsid w:val="00E81ADA"/>
    <w:rsid w:val="00E81BC6"/>
    <w:rsid w:val="00E81F3E"/>
    <w:rsid w:val="00E82811"/>
    <w:rsid w:val="00E82ACB"/>
    <w:rsid w:val="00E82C59"/>
    <w:rsid w:val="00E82D9D"/>
    <w:rsid w:val="00E83500"/>
    <w:rsid w:val="00E836DB"/>
    <w:rsid w:val="00E83895"/>
    <w:rsid w:val="00E84202"/>
    <w:rsid w:val="00E8473B"/>
    <w:rsid w:val="00E84979"/>
    <w:rsid w:val="00E84D82"/>
    <w:rsid w:val="00E8526C"/>
    <w:rsid w:val="00E852E3"/>
    <w:rsid w:val="00E855C5"/>
    <w:rsid w:val="00E863A0"/>
    <w:rsid w:val="00E8656A"/>
    <w:rsid w:val="00E86B8B"/>
    <w:rsid w:val="00E86E73"/>
    <w:rsid w:val="00E86F4C"/>
    <w:rsid w:val="00E8719C"/>
    <w:rsid w:val="00E87457"/>
    <w:rsid w:val="00E87D3D"/>
    <w:rsid w:val="00E90056"/>
    <w:rsid w:val="00E90423"/>
    <w:rsid w:val="00E90680"/>
    <w:rsid w:val="00E90BBF"/>
    <w:rsid w:val="00E90D98"/>
    <w:rsid w:val="00E91545"/>
    <w:rsid w:val="00E91CF1"/>
    <w:rsid w:val="00E91D31"/>
    <w:rsid w:val="00E926A1"/>
    <w:rsid w:val="00E926B5"/>
    <w:rsid w:val="00E928D6"/>
    <w:rsid w:val="00E92965"/>
    <w:rsid w:val="00E92B28"/>
    <w:rsid w:val="00E92B2C"/>
    <w:rsid w:val="00E92D11"/>
    <w:rsid w:val="00E92D1A"/>
    <w:rsid w:val="00E92DB1"/>
    <w:rsid w:val="00E9301B"/>
    <w:rsid w:val="00E93592"/>
    <w:rsid w:val="00E935E0"/>
    <w:rsid w:val="00E93B81"/>
    <w:rsid w:val="00E94C51"/>
    <w:rsid w:val="00E94F03"/>
    <w:rsid w:val="00E951AC"/>
    <w:rsid w:val="00E95447"/>
    <w:rsid w:val="00E9564C"/>
    <w:rsid w:val="00E95C3E"/>
    <w:rsid w:val="00E95DCD"/>
    <w:rsid w:val="00E95E2E"/>
    <w:rsid w:val="00E961BB"/>
    <w:rsid w:val="00E9673F"/>
    <w:rsid w:val="00E9691F"/>
    <w:rsid w:val="00E96EEE"/>
    <w:rsid w:val="00E97006"/>
    <w:rsid w:val="00E9734E"/>
    <w:rsid w:val="00E979FA"/>
    <w:rsid w:val="00E979FD"/>
    <w:rsid w:val="00E97B66"/>
    <w:rsid w:val="00E97CEF"/>
    <w:rsid w:val="00E97F06"/>
    <w:rsid w:val="00EA034A"/>
    <w:rsid w:val="00EA089D"/>
    <w:rsid w:val="00EA1150"/>
    <w:rsid w:val="00EA1512"/>
    <w:rsid w:val="00EA1551"/>
    <w:rsid w:val="00EA19B3"/>
    <w:rsid w:val="00EA2409"/>
    <w:rsid w:val="00EA2E8B"/>
    <w:rsid w:val="00EA3624"/>
    <w:rsid w:val="00EA3637"/>
    <w:rsid w:val="00EA3D37"/>
    <w:rsid w:val="00EA4831"/>
    <w:rsid w:val="00EA4C9A"/>
    <w:rsid w:val="00EA525E"/>
    <w:rsid w:val="00EA54A3"/>
    <w:rsid w:val="00EA5793"/>
    <w:rsid w:val="00EA5DD9"/>
    <w:rsid w:val="00EA6267"/>
    <w:rsid w:val="00EA6609"/>
    <w:rsid w:val="00EA671C"/>
    <w:rsid w:val="00EA698A"/>
    <w:rsid w:val="00EA6A82"/>
    <w:rsid w:val="00EA6C4F"/>
    <w:rsid w:val="00EA6ECC"/>
    <w:rsid w:val="00EA7534"/>
    <w:rsid w:val="00EA75EB"/>
    <w:rsid w:val="00EA787F"/>
    <w:rsid w:val="00EB039A"/>
    <w:rsid w:val="00EB1098"/>
    <w:rsid w:val="00EB12AE"/>
    <w:rsid w:val="00EB1400"/>
    <w:rsid w:val="00EB14B6"/>
    <w:rsid w:val="00EB1680"/>
    <w:rsid w:val="00EB181C"/>
    <w:rsid w:val="00EB18D0"/>
    <w:rsid w:val="00EB1D8D"/>
    <w:rsid w:val="00EB2157"/>
    <w:rsid w:val="00EB24D5"/>
    <w:rsid w:val="00EB2738"/>
    <w:rsid w:val="00EB2E2F"/>
    <w:rsid w:val="00EB316C"/>
    <w:rsid w:val="00EB37A8"/>
    <w:rsid w:val="00EB3A41"/>
    <w:rsid w:val="00EB4214"/>
    <w:rsid w:val="00EB4F50"/>
    <w:rsid w:val="00EB5269"/>
    <w:rsid w:val="00EB563B"/>
    <w:rsid w:val="00EB57B9"/>
    <w:rsid w:val="00EB5821"/>
    <w:rsid w:val="00EB5D30"/>
    <w:rsid w:val="00EB5E9A"/>
    <w:rsid w:val="00EB64B8"/>
    <w:rsid w:val="00EB6949"/>
    <w:rsid w:val="00EB6E58"/>
    <w:rsid w:val="00EB6F40"/>
    <w:rsid w:val="00EB70C1"/>
    <w:rsid w:val="00EB78F3"/>
    <w:rsid w:val="00EB7DED"/>
    <w:rsid w:val="00EC032E"/>
    <w:rsid w:val="00EC06A9"/>
    <w:rsid w:val="00EC0EF0"/>
    <w:rsid w:val="00EC1963"/>
    <w:rsid w:val="00EC1A4A"/>
    <w:rsid w:val="00EC1D61"/>
    <w:rsid w:val="00EC20C9"/>
    <w:rsid w:val="00EC2237"/>
    <w:rsid w:val="00EC2A53"/>
    <w:rsid w:val="00EC2A74"/>
    <w:rsid w:val="00EC3360"/>
    <w:rsid w:val="00EC3A4F"/>
    <w:rsid w:val="00EC3BA4"/>
    <w:rsid w:val="00EC4289"/>
    <w:rsid w:val="00EC45EF"/>
    <w:rsid w:val="00EC4D80"/>
    <w:rsid w:val="00EC5977"/>
    <w:rsid w:val="00EC5AE2"/>
    <w:rsid w:val="00EC5D87"/>
    <w:rsid w:val="00EC61F0"/>
    <w:rsid w:val="00EC6797"/>
    <w:rsid w:val="00EC6E42"/>
    <w:rsid w:val="00EC7545"/>
    <w:rsid w:val="00EC784D"/>
    <w:rsid w:val="00ED0A59"/>
    <w:rsid w:val="00ED1FCF"/>
    <w:rsid w:val="00ED229C"/>
    <w:rsid w:val="00ED24A9"/>
    <w:rsid w:val="00ED2C98"/>
    <w:rsid w:val="00ED2EF0"/>
    <w:rsid w:val="00ED2F90"/>
    <w:rsid w:val="00ED300D"/>
    <w:rsid w:val="00ED3486"/>
    <w:rsid w:val="00ED396E"/>
    <w:rsid w:val="00ED40CB"/>
    <w:rsid w:val="00ED42F8"/>
    <w:rsid w:val="00ED4D85"/>
    <w:rsid w:val="00ED5065"/>
    <w:rsid w:val="00ED52AD"/>
    <w:rsid w:val="00ED5909"/>
    <w:rsid w:val="00ED5945"/>
    <w:rsid w:val="00ED608C"/>
    <w:rsid w:val="00ED638C"/>
    <w:rsid w:val="00ED6599"/>
    <w:rsid w:val="00ED6B90"/>
    <w:rsid w:val="00ED6CF1"/>
    <w:rsid w:val="00ED6CF2"/>
    <w:rsid w:val="00ED7AD3"/>
    <w:rsid w:val="00ED7C93"/>
    <w:rsid w:val="00EE1920"/>
    <w:rsid w:val="00EE1A28"/>
    <w:rsid w:val="00EE1DFE"/>
    <w:rsid w:val="00EE23E7"/>
    <w:rsid w:val="00EE276E"/>
    <w:rsid w:val="00EE2C27"/>
    <w:rsid w:val="00EE2DA5"/>
    <w:rsid w:val="00EE2E27"/>
    <w:rsid w:val="00EE3066"/>
    <w:rsid w:val="00EE3431"/>
    <w:rsid w:val="00EE3998"/>
    <w:rsid w:val="00EE3BF6"/>
    <w:rsid w:val="00EE3C52"/>
    <w:rsid w:val="00EE4262"/>
    <w:rsid w:val="00EE4658"/>
    <w:rsid w:val="00EE497D"/>
    <w:rsid w:val="00EE4B4A"/>
    <w:rsid w:val="00EE5048"/>
    <w:rsid w:val="00EE5347"/>
    <w:rsid w:val="00EE541F"/>
    <w:rsid w:val="00EE5772"/>
    <w:rsid w:val="00EE5B62"/>
    <w:rsid w:val="00EE629C"/>
    <w:rsid w:val="00EE64E3"/>
    <w:rsid w:val="00EE6747"/>
    <w:rsid w:val="00EE6A23"/>
    <w:rsid w:val="00EE6AD5"/>
    <w:rsid w:val="00EE778C"/>
    <w:rsid w:val="00EE783A"/>
    <w:rsid w:val="00EE7985"/>
    <w:rsid w:val="00EE79C1"/>
    <w:rsid w:val="00EE7A24"/>
    <w:rsid w:val="00EE7AD6"/>
    <w:rsid w:val="00EE7BD2"/>
    <w:rsid w:val="00EE7DB0"/>
    <w:rsid w:val="00EF03CD"/>
    <w:rsid w:val="00EF1171"/>
    <w:rsid w:val="00EF1BB4"/>
    <w:rsid w:val="00EF1E7F"/>
    <w:rsid w:val="00EF24BB"/>
    <w:rsid w:val="00EF25B5"/>
    <w:rsid w:val="00EF26D5"/>
    <w:rsid w:val="00EF2D02"/>
    <w:rsid w:val="00EF3092"/>
    <w:rsid w:val="00EF332B"/>
    <w:rsid w:val="00EF3665"/>
    <w:rsid w:val="00EF4EEB"/>
    <w:rsid w:val="00EF57EF"/>
    <w:rsid w:val="00EF5A56"/>
    <w:rsid w:val="00EF5B8F"/>
    <w:rsid w:val="00EF5C0C"/>
    <w:rsid w:val="00EF63CA"/>
    <w:rsid w:val="00EF6537"/>
    <w:rsid w:val="00EF6B7C"/>
    <w:rsid w:val="00EF6FCA"/>
    <w:rsid w:val="00EF71F8"/>
    <w:rsid w:val="00EF7646"/>
    <w:rsid w:val="00EF76F0"/>
    <w:rsid w:val="00F00C01"/>
    <w:rsid w:val="00F00FD7"/>
    <w:rsid w:val="00F01463"/>
    <w:rsid w:val="00F015BC"/>
    <w:rsid w:val="00F016C7"/>
    <w:rsid w:val="00F01A49"/>
    <w:rsid w:val="00F023B9"/>
    <w:rsid w:val="00F02A21"/>
    <w:rsid w:val="00F02F2B"/>
    <w:rsid w:val="00F03017"/>
    <w:rsid w:val="00F03B42"/>
    <w:rsid w:val="00F04324"/>
    <w:rsid w:val="00F043C8"/>
    <w:rsid w:val="00F04E8C"/>
    <w:rsid w:val="00F05001"/>
    <w:rsid w:val="00F0587B"/>
    <w:rsid w:val="00F0617E"/>
    <w:rsid w:val="00F065B5"/>
    <w:rsid w:val="00F066DD"/>
    <w:rsid w:val="00F06B63"/>
    <w:rsid w:val="00F06D59"/>
    <w:rsid w:val="00F06F49"/>
    <w:rsid w:val="00F071B8"/>
    <w:rsid w:val="00F0764D"/>
    <w:rsid w:val="00F07D33"/>
    <w:rsid w:val="00F07F52"/>
    <w:rsid w:val="00F10431"/>
    <w:rsid w:val="00F10699"/>
    <w:rsid w:val="00F107A8"/>
    <w:rsid w:val="00F1080E"/>
    <w:rsid w:val="00F108A9"/>
    <w:rsid w:val="00F10958"/>
    <w:rsid w:val="00F10A7E"/>
    <w:rsid w:val="00F10B8A"/>
    <w:rsid w:val="00F10B9A"/>
    <w:rsid w:val="00F114CC"/>
    <w:rsid w:val="00F114FC"/>
    <w:rsid w:val="00F11A23"/>
    <w:rsid w:val="00F12189"/>
    <w:rsid w:val="00F1385D"/>
    <w:rsid w:val="00F143A1"/>
    <w:rsid w:val="00F14A0A"/>
    <w:rsid w:val="00F1531B"/>
    <w:rsid w:val="00F15624"/>
    <w:rsid w:val="00F15B0A"/>
    <w:rsid w:val="00F15B22"/>
    <w:rsid w:val="00F16264"/>
    <w:rsid w:val="00F164D3"/>
    <w:rsid w:val="00F169B2"/>
    <w:rsid w:val="00F16C6F"/>
    <w:rsid w:val="00F16D41"/>
    <w:rsid w:val="00F17A8E"/>
    <w:rsid w:val="00F17BB7"/>
    <w:rsid w:val="00F2052D"/>
    <w:rsid w:val="00F20E28"/>
    <w:rsid w:val="00F20F69"/>
    <w:rsid w:val="00F216A5"/>
    <w:rsid w:val="00F21BF4"/>
    <w:rsid w:val="00F22183"/>
    <w:rsid w:val="00F2231D"/>
    <w:rsid w:val="00F22C36"/>
    <w:rsid w:val="00F22EFC"/>
    <w:rsid w:val="00F23BDE"/>
    <w:rsid w:val="00F2427D"/>
    <w:rsid w:val="00F2448B"/>
    <w:rsid w:val="00F24C1C"/>
    <w:rsid w:val="00F24D13"/>
    <w:rsid w:val="00F24E14"/>
    <w:rsid w:val="00F24F1E"/>
    <w:rsid w:val="00F2523D"/>
    <w:rsid w:val="00F252D0"/>
    <w:rsid w:val="00F26177"/>
    <w:rsid w:val="00F26244"/>
    <w:rsid w:val="00F26344"/>
    <w:rsid w:val="00F26685"/>
    <w:rsid w:val="00F26CF9"/>
    <w:rsid w:val="00F27B8F"/>
    <w:rsid w:val="00F30F43"/>
    <w:rsid w:val="00F31450"/>
    <w:rsid w:val="00F31AD2"/>
    <w:rsid w:val="00F32060"/>
    <w:rsid w:val="00F320E4"/>
    <w:rsid w:val="00F32230"/>
    <w:rsid w:val="00F32567"/>
    <w:rsid w:val="00F3257B"/>
    <w:rsid w:val="00F32617"/>
    <w:rsid w:val="00F327A1"/>
    <w:rsid w:val="00F329C3"/>
    <w:rsid w:val="00F32ADF"/>
    <w:rsid w:val="00F33406"/>
    <w:rsid w:val="00F33791"/>
    <w:rsid w:val="00F33C07"/>
    <w:rsid w:val="00F33C8F"/>
    <w:rsid w:val="00F34274"/>
    <w:rsid w:val="00F35563"/>
    <w:rsid w:val="00F3629B"/>
    <w:rsid w:val="00F36437"/>
    <w:rsid w:val="00F36509"/>
    <w:rsid w:val="00F369DB"/>
    <w:rsid w:val="00F36BD8"/>
    <w:rsid w:val="00F373AC"/>
    <w:rsid w:val="00F373B7"/>
    <w:rsid w:val="00F373D7"/>
    <w:rsid w:val="00F37539"/>
    <w:rsid w:val="00F37658"/>
    <w:rsid w:val="00F376F4"/>
    <w:rsid w:val="00F377B1"/>
    <w:rsid w:val="00F37BC6"/>
    <w:rsid w:val="00F37D41"/>
    <w:rsid w:val="00F37E5B"/>
    <w:rsid w:val="00F37E5C"/>
    <w:rsid w:val="00F401ED"/>
    <w:rsid w:val="00F402AD"/>
    <w:rsid w:val="00F40AB6"/>
    <w:rsid w:val="00F40E07"/>
    <w:rsid w:val="00F41DD0"/>
    <w:rsid w:val="00F4273D"/>
    <w:rsid w:val="00F42754"/>
    <w:rsid w:val="00F4291B"/>
    <w:rsid w:val="00F42ED6"/>
    <w:rsid w:val="00F4315C"/>
    <w:rsid w:val="00F435B7"/>
    <w:rsid w:val="00F43632"/>
    <w:rsid w:val="00F43686"/>
    <w:rsid w:val="00F436EB"/>
    <w:rsid w:val="00F44304"/>
    <w:rsid w:val="00F443C5"/>
    <w:rsid w:val="00F44498"/>
    <w:rsid w:val="00F447D0"/>
    <w:rsid w:val="00F44EEF"/>
    <w:rsid w:val="00F45238"/>
    <w:rsid w:val="00F4553F"/>
    <w:rsid w:val="00F45DB6"/>
    <w:rsid w:val="00F46121"/>
    <w:rsid w:val="00F46437"/>
    <w:rsid w:val="00F466DA"/>
    <w:rsid w:val="00F46994"/>
    <w:rsid w:val="00F469FB"/>
    <w:rsid w:val="00F46C6A"/>
    <w:rsid w:val="00F46E69"/>
    <w:rsid w:val="00F470DD"/>
    <w:rsid w:val="00F475FC"/>
    <w:rsid w:val="00F47787"/>
    <w:rsid w:val="00F47868"/>
    <w:rsid w:val="00F47BCF"/>
    <w:rsid w:val="00F47D46"/>
    <w:rsid w:val="00F47FBF"/>
    <w:rsid w:val="00F50223"/>
    <w:rsid w:val="00F505D7"/>
    <w:rsid w:val="00F5062A"/>
    <w:rsid w:val="00F509A8"/>
    <w:rsid w:val="00F509B3"/>
    <w:rsid w:val="00F50BD3"/>
    <w:rsid w:val="00F51947"/>
    <w:rsid w:val="00F51B0D"/>
    <w:rsid w:val="00F51E70"/>
    <w:rsid w:val="00F521D0"/>
    <w:rsid w:val="00F525AF"/>
    <w:rsid w:val="00F52694"/>
    <w:rsid w:val="00F526C8"/>
    <w:rsid w:val="00F5299D"/>
    <w:rsid w:val="00F533A1"/>
    <w:rsid w:val="00F5386C"/>
    <w:rsid w:val="00F53B1F"/>
    <w:rsid w:val="00F53C85"/>
    <w:rsid w:val="00F53CFE"/>
    <w:rsid w:val="00F53F85"/>
    <w:rsid w:val="00F54012"/>
    <w:rsid w:val="00F557EE"/>
    <w:rsid w:val="00F55BE7"/>
    <w:rsid w:val="00F55CA6"/>
    <w:rsid w:val="00F55F39"/>
    <w:rsid w:val="00F564BF"/>
    <w:rsid w:val="00F56BF6"/>
    <w:rsid w:val="00F56D8C"/>
    <w:rsid w:val="00F57121"/>
    <w:rsid w:val="00F57169"/>
    <w:rsid w:val="00F571AD"/>
    <w:rsid w:val="00F6022E"/>
    <w:rsid w:val="00F605D8"/>
    <w:rsid w:val="00F60F1E"/>
    <w:rsid w:val="00F60F54"/>
    <w:rsid w:val="00F61D30"/>
    <w:rsid w:val="00F6233E"/>
    <w:rsid w:val="00F6241C"/>
    <w:rsid w:val="00F628F4"/>
    <w:rsid w:val="00F62F01"/>
    <w:rsid w:val="00F63173"/>
    <w:rsid w:val="00F63FCB"/>
    <w:rsid w:val="00F6431B"/>
    <w:rsid w:val="00F6445B"/>
    <w:rsid w:val="00F647D1"/>
    <w:rsid w:val="00F651DC"/>
    <w:rsid w:val="00F651F6"/>
    <w:rsid w:val="00F652A2"/>
    <w:rsid w:val="00F6594B"/>
    <w:rsid w:val="00F65972"/>
    <w:rsid w:val="00F65C4F"/>
    <w:rsid w:val="00F66528"/>
    <w:rsid w:val="00F665EE"/>
    <w:rsid w:val="00F6684B"/>
    <w:rsid w:val="00F66FAE"/>
    <w:rsid w:val="00F67734"/>
    <w:rsid w:val="00F67D05"/>
    <w:rsid w:val="00F701B5"/>
    <w:rsid w:val="00F70687"/>
    <w:rsid w:val="00F706BB"/>
    <w:rsid w:val="00F707EA"/>
    <w:rsid w:val="00F70941"/>
    <w:rsid w:val="00F70A83"/>
    <w:rsid w:val="00F70B48"/>
    <w:rsid w:val="00F70EA9"/>
    <w:rsid w:val="00F70F22"/>
    <w:rsid w:val="00F7108C"/>
    <w:rsid w:val="00F714B8"/>
    <w:rsid w:val="00F71E0B"/>
    <w:rsid w:val="00F733A2"/>
    <w:rsid w:val="00F733B8"/>
    <w:rsid w:val="00F737C2"/>
    <w:rsid w:val="00F7398B"/>
    <w:rsid w:val="00F740DB"/>
    <w:rsid w:val="00F74479"/>
    <w:rsid w:val="00F746C4"/>
    <w:rsid w:val="00F74A2A"/>
    <w:rsid w:val="00F74D99"/>
    <w:rsid w:val="00F75882"/>
    <w:rsid w:val="00F7612E"/>
    <w:rsid w:val="00F767D7"/>
    <w:rsid w:val="00F7680F"/>
    <w:rsid w:val="00F76931"/>
    <w:rsid w:val="00F76FA7"/>
    <w:rsid w:val="00F770FE"/>
    <w:rsid w:val="00F77225"/>
    <w:rsid w:val="00F77345"/>
    <w:rsid w:val="00F77510"/>
    <w:rsid w:val="00F77B88"/>
    <w:rsid w:val="00F80C1D"/>
    <w:rsid w:val="00F81270"/>
    <w:rsid w:val="00F81449"/>
    <w:rsid w:val="00F816FF"/>
    <w:rsid w:val="00F817E2"/>
    <w:rsid w:val="00F81C32"/>
    <w:rsid w:val="00F81C66"/>
    <w:rsid w:val="00F81CF4"/>
    <w:rsid w:val="00F822BB"/>
    <w:rsid w:val="00F82366"/>
    <w:rsid w:val="00F82855"/>
    <w:rsid w:val="00F82B3D"/>
    <w:rsid w:val="00F8310A"/>
    <w:rsid w:val="00F832C2"/>
    <w:rsid w:val="00F8473C"/>
    <w:rsid w:val="00F84F5A"/>
    <w:rsid w:val="00F84F5B"/>
    <w:rsid w:val="00F85065"/>
    <w:rsid w:val="00F851FD"/>
    <w:rsid w:val="00F85889"/>
    <w:rsid w:val="00F859F1"/>
    <w:rsid w:val="00F85C37"/>
    <w:rsid w:val="00F86193"/>
    <w:rsid w:val="00F8620B"/>
    <w:rsid w:val="00F86818"/>
    <w:rsid w:val="00F86876"/>
    <w:rsid w:val="00F86B48"/>
    <w:rsid w:val="00F86F21"/>
    <w:rsid w:val="00F872BE"/>
    <w:rsid w:val="00F87426"/>
    <w:rsid w:val="00F876EA"/>
    <w:rsid w:val="00F87701"/>
    <w:rsid w:val="00F87AD7"/>
    <w:rsid w:val="00F87FE4"/>
    <w:rsid w:val="00F9011F"/>
    <w:rsid w:val="00F90603"/>
    <w:rsid w:val="00F906DD"/>
    <w:rsid w:val="00F90A37"/>
    <w:rsid w:val="00F90AF1"/>
    <w:rsid w:val="00F90C20"/>
    <w:rsid w:val="00F916CB"/>
    <w:rsid w:val="00F92475"/>
    <w:rsid w:val="00F92908"/>
    <w:rsid w:val="00F92914"/>
    <w:rsid w:val="00F92EDB"/>
    <w:rsid w:val="00F92F6C"/>
    <w:rsid w:val="00F9308A"/>
    <w:rsid w:val="00F931EF"/>
    <w:rsid w:val="00F932B2"/>
    <w:rsid w:val="00F934BB"/>
    <w:rsid w:val="00F936EA"/>
    <w:rsid w:val="00F936F5"/>
    <w:rsid w:val="00F94CB6"/>
    <w:rsid w:val="00F950AB"/>
    <w:rsid w:val="00F9525D"/>
    <w:rsid w:val="00F955B0"/>
    <w:rsid w:val="00F957EA"/>
    <w:rsid w:val="00F95E8C"/>
    <w:rsid w:val="00F96A0F"/>
    <w:rsid w:val="00F96A49"/>
    <w:rsid w:val="00F97045"/>
    <w:rsid w:val="00FA0085"/>
    <w:rsid w:val="00FA0412"/>
    <w:rsid w:val="00FA0C9B"/>
    <w:rsid w:val="00FA0F02"/>
    <w:rsid w:val="00FA1124"/>
    <w:rsid w:val="00FA12CE"/>
    <w:rsid w:val="00FA12FE"/>
    <w:rsid w:val="00FA131B"/>
    <w:rsid w:val="00FA1514"/>
    <w:rsid w:val="00FA185E"/>
    <w:rsid w:val="00FA29A1"/>
    <w:rsid w:val="00FA388F"/>
    <w:rsid w:val="00FA4D10"/>
    <w:rsid w:val="00FA4D38"/>
    <w:rsid w:val="00FA5BDC"/>
    <w:rsid w:val="00FA64A2"/>
    <w:rsid w:val="00FA6599"/>
    <w:rsid w:val="00FA6874"/>
    <w:rsid w:val="00FA6D46"/>
    <w:rsid w:val="00FA6DE6"/>
    <w:rsid w:val="00FA6EFF"/>
    <w:rsid w:val="00FA71A9"/>
    <w:rsid w:val="00FA76BE"/>
    <w:rsid w:val="00FA770A"/>
    <w:rsid w:val="00FA7E2A"/>
    <w:rsid w:val="00FA7E95"/>
    <w:rsid w:val="00FB0462"/>
    <w:rsid w:val="00FB05CA"/>
    <w:rsid w:val="00FB0CE9"/>
    <w:rsid w:val="00FB0D67"/>
    <w:rsid w:val="00FB0E33"/>
    <w:rsid w:val="00FB12B7"/>
    <w:rsid w:val="00FB132B"/>
    <w:rsid w:val="00FB149F"/>
    <w:rsid w:val="00FB14A9"/>
    <w:rsid w:val="00FB1814"/>
    <w:rsid w:val="00FB1FF0"/>
    <w:rsid w:val="00FB21DB"/>
    <w:rsid w:val="00FB2506"/>
    <w:rsid w:val="00FB29EB"/>
    <w:rsid w:val="00FB2DB0"/>
    <w:rsid w:val="00FB3988"/>
    <w:rsid w:val="00FB3C9A"/>
    <w:rsid w:val="00FB3E3C"/>
    <w:rsid w:val="00FB40DE"/>
    <w:rsid w:val="00FB4908"/>
    <w:rsid w:val="00FB4B5A"/>
    <w:rsid w:val="00FB55EF"/>
    <w:rsid w:val="00FB55F3"/>
    <w:rsid w:val="00FB5AEC"/>
    <w:rsid w:val="00FB5E31"/>
    <w:rsid w:val="00FB6213"/>
    <w:rsid w:val="00FB675D"/>
    <w:rsid w:val="00FB6DA4"/>
    <w:rsid w:val="00FB72D0"/>
    <w:rsid w:val="00FB7753"/>
    <w:rsid w:val="00FB7811"/>
    <w:rsid w:val="00FB7E3C"/>
    <w:rsid w:val="00FC008D"/>
    <w:rsid w:val="00FC0399"/>
    <w:rsid w:val="00FC085E"/>
    <w:rsid w:val="00FC097B"/>
    <w:rsid w:val="00FC0E09"/>
    <w:rsid w:val="00FC11CA"/>
    <w:rsid w:val="00FC164D"/>
    <w:rsid w:val="00FC2167"/>
    <w:rsid w:val="00FC2ADE"/>
    <w:rsid w:val="00FC317C"/>
    <w:rsid w:val="00FC376C"/>
    <w:rsid w:val="00FC3CD1"/>
    <w:rsid w:val="00FC3D0E"/>
    <w:rsid w:val="00FC4AB7"/>
    <w:rsid w:val="00FC4D48"/>
    <w:rsid w:val="00FC50DC"/>
    <w:rsid w:val="00FC5DA7"/>
    <w:rsid w:val="00FC650F"/>
    <w:rsid w:val="00FC6BC7"/>
    <w:rsid w:val="00FC6DE4"/>
    <w:rsid w:val="00FC6DE8"/>
    <w:rsid w:val="00FC6E95"/>
    <w:rsid w:val="00FC7513"/>
    <w:rsid w:val="00FC78E0"/>
    <w:rsid w:val="00FC7CE4"/>
    <w:rsid w:val="00FD013F"/>
    <w:rsid w:val="00FD03A5"/>
    <w:rsid w:val="00FD0607"/>
    <w:rsid w:val="00FD06E2"/>
    <w:rsid w:val="00FD08C4"/>
    <w:rsid w:val="00FD1395"/>
    <w:rsid w:val="00FD13E5"/>
    <w:rsid w:val="00FD1F18"/>
    <w:rsid w:val="00FD26A1"/>
    <w:rsid w:val="00FD2BA0"/>
    <w:rsid w:val="00FD2BD0"/>
    <w:rsid w:val="00FD2DA3"/>
    <w:rsid w:val="00FD2FB0"/>
    <w:rsid w:val="00FD3862"/>
    <w:rsid w:val="00FD40B8"/>
    <w:rsid w:val="00FD4101"/>
    <w:rsid w:val="00FD442E"/>
    <w:rsid w:val="00FD460B"/>
    <w:rsid w:val="00FD4F11"/>
    <w:rsid w:val="00FD55BA"/>
    <w:rsid w:val="00FD5916"/>
    <w:rsid w:val="00FD5933"/>
    <w:rsid w:val="00FD5A66"/>
    <w:rsid w:val="00FD5B68"/>
    <w:rsid w:val="00FD5D88"/>
    <w:rsid w:val="00FD6243"/>
    <w:rsid w:val="00FD659A"/>
    <w:rsid w:val="00FD6995"/>
    <w:rsid w:val="00FD6C2D"/>
    <w:rsid w:val="00FD6C4D"/>
    <w:rsid w:val="00FD6D33"/>
    <w:rsid w:val="00FD6D69"/>
    <w:rsid w:val="00FD7819"/>
    <w:rsid w:val="00FD7853"/>
    <w:rsid w:val="00FD7BD8"/>
    <w:rsid w:val="00FE0128"/>
    <w:rsid w:val="00FE018C"/>
    <w:rsid w:val="00FE01A0"/>
    <w:rsid w:val="00FE029D"/>
    <w:rsid w:val="00FE0BDD"/>
    <w:rsid w:val="00FE1064"/>
    <w:rsid w:val="00FE164A"/>
    <w:rsid w:val="00FE1CA6"/>
    <w:rsid w:val="00FE1D5D"/>
    <w:rsid w:val="00FE1DC1"/>
    <w:rsid w:val="00FE1FEE"/>
    <w:rsid w:val="00FE218B"/>
    <w:rsid w:val="00FE26A7"/>
    <w:rsid w:val="00FE27E5"/>
    <w:rsid w:val="00FE307B"/>
    <w:rsid w:val="00FE38E2"/>
    <w:rsid w:val="00FE3A08"/>
    <w:rsid w:val="00FE3A76"/>
    <w:rsid w:val="00FE3B6B"/>
    <w:rsid w:val="00FE3D55"/>
    <w:rsid w:val="00FE4026"/>
    <w:rsid w:val="00FE42D0"/>
    <w:rsid w:val="00FE4838"/>
    <w:rsid w:val="00FE4E43"/>
    <w:rsid w:val="00FE5DAC"/>
    <w:rsid w:val="00FE5E6C"/>
    <w:rsid w:val="00FE6502"/>
    <w:rsid w:val="00FE6522"/>
    <w:rsid w:val="00FE65AF"/>
    <w:rsid w:val="00FE6945"/>
    <w:rsid w:val="00FE7685"/>
    <w:rsid w:val="00FE77DE"/>
    <w:rsid w:val="00FE7D00"/>
    <w:rsid w:val="00FE7EA9"/>
    <w:rsid w:val="00FF0B93"/>
    <w:rsid w:val="00FF154D"/>
    <w:rsid w:val="00FF24C8"/>
    <w:rsid w:val="00FF2512"/>
    <w:rsid w:val="00FF25F6"/>
    <w:rsid w:val="00FF28A3"/>
    <w:rsid w:val="00FF381E"/>
    <w:rsid w:val="00FF4263"/>
    <w:rsid w:val="00FF43A0"/>
    <w:rsid w:val="00FF4A86"/>
    <w:rsid w:val="00FF501D"/>
    <w:rsid w:val="00FF50FA"/>
    <w:rsid w:val="00FF5342"/>
    <w:rsid w:val="00FF5734"/>
    <w:rsid w:val="00FF5D76"/>
    <w:rsid w:val="00FF5F51"/>
    <w:rsid w:val="00FF6155"/>
    <w:rsid w:val="00FF7008"/>
    <w:rsid w:val="00FF7821"/>
    <w:rsid w:val="00FF7EB6"/>
    <w:rsid w:val="00FF7F8D"/>
    <w:rsid w:val="08E19FCA"/>
    <w:rsid w:val="17B0E842"/>
    <w:rsid w:val="4EB334C9"/>
    <w:rsid w:val="673C6670"/>
    <w:rsid w:val="788E12DD"/>
    <w:rsid w:val="7AFC4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5F2A8"/>
  <w15:chartTrackingRefBased/>
  <w15:docId w15:val="{D871BFF7-DF85-4D6E-B03B-FDFD53334B7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qFormat="1"/>
    <w:lsdException w:name="heading 6" w:uiPriority="9" w:qFormat="1"/>
    <w:lsdException w:name="heading 7" w:uiPriority="9" w:qFormat="1"/>
    <w:lsdException w:name="heading 8" w:uiPriority="9"/>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lsdException w:name="Emphasis"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lsdException w:name="Intense Emphasis" w:uiPriority="21" w:semiHidden="1"/>
    <w:lsdException w:name="Subtle Reference" w:uiPriority="31" w:semiHidden="1"/>
    <w:lsdException w:name="Intense Reference" w:uiPriority="32" w:semiHidden="1"/>
    <w:lsdException w:name="Book Title" w:uiPriority="33" w:semiHidden="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2F056F"/>
    <w:pPr>
      <w:widowControl w:val="0"/>
      <w:spacing w:after="0" w:line="240" w:lineRule="auto"/>
      <w:jc w:val="both"/>
    </w:pPr>
  </w:style>
  <w:style w:type="paragraph" w:styleId="Heading1">
    <w:name w:val="heading 1"/>
    <w:next w:val="Para0"/>
    <w:link w:val="Heading1Char"/>
    <w:uiPriority w:val="4"/>
    <w:qFormat/>
    <w:rsid w:val="007A76BA"/>
    <w:pPr>
      <w:keepNext/>
      <w:keepLines/>
      <w:pageBreakBefore/>
      <w:framePr w:w="9072" w:wrap="notBeside" w:hAnchor="page" w:vAnchor="text" w:xAlign="center" w:y="1"/>
      <w:numPr>
        <w:numId w:val="7"/>
      </w:numPr>
      <w:pBdr>
        <w:top w:val="single" w:color="FFFFFF" w:themeColor="accent2" w:sz="48" w:space="30"/>
        <w:left w:val="single" w:color="FFFFFF" w:themeColor="accent2" w:sz="48" w:space="5"/>
        <w:bottom w:val="single" w:color="FFFFFF" w:themeColor="accent2" w:sz="48" w:space="5"/>
        <w:right w:val="single" w:color="FFFFFF" w:themeColor="accent2" w:sz="24" w:space="5"/>
      </w:pBdr>
      <w:shd w:val="clear" w:color="auto" w:fill="FFFFFF" w:themeFill="accent2"/>
      <w:spacing w:after="600" w:line="720" w:lineRule="exact"/>
      <w:outlineLvl w:val="0"/>
    </w:pPr>
    <w:rPr>
      <w:rFonts w:asciiTheme="majorHAnsi" w:hAnsiTheme="majorHAnsi" w:eastAsiaTheme="majorEastAsia" w:cstheme="majorBidi"/>
      <w:b/>
      <w:color w:val="4E81BD" w:themeColor="accent5"/>
      <w:sz w:val="56"/>
      <w:szCs w:val="32"/>
    </w:rPr>
  </w:style>
  <w:style w:type="paragraph" w:styleId="Heading2">
    <w:name w:val="heading 2"/>
    <w:next w:val="Para0"/>
    <w:link w:val="Heading2Char"/>
    <w:uiPriority w:val="7"/>
    <w:qFormat/>
    <w:rsid w:val="000E5F57"/>
    <w:pPr>
      <w:keepNext/>
      <w:numPr>
        <w:ilvl w:val="1"/>
        <w:numId w:val="7"/>
      </w:numPr>
      <w:spacing w:before="440" w:after="240" w:line="320" w:lineRule="exact"/>
      <w:outlineLvl w:val="1"/>
    </w:pPr>
    <w:rPr>
      <w:rFonts w:eastAsiaTheme="majorEastAsia" w:cstheme="majorBidi"/>
      <w:b/>
      <w:color w:val="4E81BD" w:themeColor="accent1"/>
      <w:sz w:val="24"/>
      <w:szCs w:val="26"/>
    </w:rPr>
  </w:style>
  <w:style w:type="paragraph" w:styleId="Heading3">
    <w:name w:val="heading 3"/>
    <w:next w:val="Para0"/>
    <w:link w:val="Heading3Char"/>
    <w:uiPriority w:val="9"/>
    <w:qFormat/>
    <w:rsid w:val="000E5F57"/>
    <w:pPr>
      <w:keepNext/>
      <w:keepLines/>
      <w:numPr>
        <w:ilvl w:val="2"/>
        <w:numId w:val="7"/>
      </w:numPr>
      <w:spacing w:before="280" w:after="180" w:line="280" w:lineRule="exact"/>
      <w:outlineLvl w:val="2"/>
    </w:pPr>
    <w:rPr>
      <w:rFonts w:eastAsiaTheme="majorEastAsia" w:cstheme="majorBidi"/>
      <w:b/>
      <w:i/>
      <w:color w:val="000000" w:themeColor="text1"/>
      <w:szCs w:val="24"/>
    </w:rPr>
  </w:style>
  <w:style w:type="paragraph" w:styleId="Heading4">
    <w:name w:val="heading 4"/>
    <w:next w:val="Para0"/>
    <w:link w:val="Heading4Char"/>
    <w:uiPriority w:val="9"/>
    <w:qFormat/>
    <w:rsid w:val="000E5F57"/>
    <w:pPr>
      <w:keepNext/>
      <w:keepLines/>
      <w:numPr>
        <w:ilvl w:val="3"/>
        <w:numId w:val="7"/>
      </w:numPr>
      <w:spacing w:before="240" w:after="180" w:line="280" w:lineRule="exact"/>
      <w:outlineLvl w:val="3"/>
    </w:pPr>
    <w:rPr>
      <w:rFonts w:eastAsiaTheme="majorEastAsia" w:cstheme="majorBidi"/>
      <w:i/>
      <w:iCs/>
      <w:color w:val="3F3F3F" w:themeColor="text2"/>
    </w:rPr>
  </w:style>
  <w:style w:type="paragraph" w:styleId="Heading5">
    <w:name w:val="heading 5"/>
    <w:next w:val="Para0"/>
    <w:link w:val="Heading5Char"/>
    <w:uiPriority w:val="9"/>
    <w:qFormat/>
    <w:rsid w:val="000E5F57"/>
    <w:pPr>
      <w:keepNext/>
      <w:keepLines/>
      <w:numPr>
        <w:ilvl w:val="4"/>
        <w:numId w:val="7"/>
      </w:numPr>
      <w:spacing w:before="240" w:after="180" w:line="260" w:lineRule="exact"/>
      <w:outlineLvl w:val="4"/>
    </w:pPr>
    <w:rPr>
      <w:rFonts w:eastAsiaTheme="majorEastAsia" w:cstheme="majorBidi"/>
      <w:b/>
      <w:color w:val="000000" w:themeColor="text1"/>
      <w:sz w:val="20"/>
    </w:rPr>
  </w:style>
  <w:style w:type="paragraph" w:styleId="Heading6">
    <w:name w:val="heading 6"/>
    <w:aliases w:val="Part"/>
    <w:next w:val="Heading1"/>
    <w:link w:val="Heading6Char"/>
    <w:uiPriority w:val="3"/>
    <w:qFormat/>
    <w:rsid w:val="00C0190E"/>
    <w:pPr>
      <w:keepNext/>
      <w:pageBreakBefore/>
      <w:framePr w:w="7938" w:h="13325" w:wrap="notBeside" w:hAnchor="page" w:vAnchor="page" w:xAlign="center" w:yAlign="center" w:hRule="exact"/>
      <w:numPr>
        <w:ilvl w:val="5"/>
        <w:numId w:val="7"/>
      </w:numPr>
      <w:pBdr>
        <w:top w:val="single" w:color="FFFFFF" w:themeColor="accent2" w:sz="48" w:space="30"/>
        <w:left w:val="single" w:color="FFFFFF" w:themeColor="accent2" w:sz="48" w:space="30"/>
        <w:bottom w:val="single" w:color="FFFFFF" w:themeColor="accent2" w:sz="48" w:space="30"/>
        <w:right w:val="single" w:color="FFFFFF" w:themeColor="accent2" w:sz="48" w:space="30"/>
      </w:pBdr>
      <w:shd w:val="clear" w:color="auto" w:fill="FFFFFF" w:themeFill="accent2"/>
      <w:spacing w:after="720"/>
      <w:outlineLvl w:val="5"/>
    </w:pPr>
    <w:rPr>
      <w:rFonts w:asciiTheme="majorHAnsi" w:hAnsiTheme="majorHAnsi" w:eastAsiaTheme="majorEastAsia" w:cstheme="majorBidi"/>
      <w:b/>
      <w:color w:val="4E81BD" w:themeColor="accent5"/>
      <w:sz w:val="72"/>
    </w:rPr>
  </w:style>
  <w:style w:type="paragraph" w:styleId="Heading7">
    <w:name w:val="heading 7"/>
    <w:aliases w:val="Doc AnnX"/>
    <w:basedOn w:val="Heading9"/>
    <w:next w:val="Para0"/>
    <w:link w:val="Heading7Char"/>
    <w:uiPriority w:val="19"/>
    <w:qFormat/>
    <w:rsid w:val="00BF1697"/>
    <w:pPr>
      <w:numPr>
        <w:ilvl w:val="6"/>
      </w:numPr>
      <w:spacing w:after="1500" w:line="600" w:lineRule="exact"/>
      <w:outlineLvl w:val="6"/>
    </w:pPr>
  </w:style>
  <w:style w:type="paragraph" w:styleId="Heading8">
    <w:name w:val="heading 8"/>
    <w:aliases w:val="Part AnnX"/>
    <w:next w:val="Para0"/>
    <w:link w:val="Heading8Char"/>
    <w:uiPriority w:val="9"/>
    <w:rsid w:val="00B06D82"/>
    <w:pPr>
      <w:keepNext/>
      <w:pageBreakBefore/>
      <w:numPr>
        <w:ilvl w:val="7"/>
        <w:numId w:val="7"/>
      </w:numPr>
      <w:tabs>
        <w:tab w:val="num" w:pos="360"/>
      </w:tabs>
      <w:spacing w:before="1200" w:after="720"/>
      <w:jc w:val="center"/>
      <w:outlineLvl w:val="7"/>
    </w:pPr>
    <w:rPr>
      <w:rFonts w:asciiTheme="majorHAnsi" w:hAnsiTheme="majorHAnsi" w:eastAsiaTheme="majorEastAsia" w:cstheme="majorBidi"/>
      <w:b/>
      <w:color w:val="4E81BD" w:themeColor="accent1"/>
      <w:sz w:val="28"/>
      <w:szCs w:val="21"/>
    </w:rPr>
  </w:style>
  <w:style w:type="paragraph" w:styleId="Heading9">
    <w:name w:val="heading 9"/>
    <w:aliases w:val="Chap AnnX"/>
    <w:next w:val="Para0"/>
    <w:link w:val="Heading9Char"/>
    <w:uiPriority w:val="20"/>
    <w:qFormat/>
    <w:rsid w:val="00BF1697"/>
    <w:pPr>
      <w:keepNext/>
      <w:pageBreakBefore/>
      <w:numPr>
        <w:ilvl w:val="8"/>
        <w:numId w:val="7"/>
      </w:numPr>
      <w:spacing w:after="960" w:line="520" w:lineRule="exact"/>
      <w:outlineLvl w:val="8"/>
    </w:pPr>
    <w:rPr>
      <w:rFonts w:asciiTheme="majorHAnsi" w:hAnsiTheme="majorHAnsi" w:eastAsiaTheme="majorEastAsia" w:cstheme="majorBidi"/>
      <w:b/>
      <w:iCs/>
      <w:color w:val="4E81BD" w:themeColor="accent1"/>
      <w:sz w:val="48"/>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0" w:customStyle="1">
    <w:name w:val="Para"/>
    <w:link w:val="ParaChar"/>
    <w:uiPriority w:val="4"/>
    <w:qFormat/>
    <w:rsid w:val="00991A9A"/>
    <w:pPr>
      <w:spacing w:before="120" w:after="120" w:line="260" w:lineRule="atLeast"/>
      <w:jc w:val="both"/>
    </w:pPr>
    <w:rPr>
      <w:color w:val="000000" w:themeColor="text1"/>
      <w:sz w:val="20"/>
    </w:rPr>
  </w:style>
  <w:style w:type="paragraph" w:styleId="Title">
    <w:name w:val="Title"/>
    <w:next w:val="Para0"/>
    <w:link w:val="TitleChar"/>
    <w:qFormat/>
    <w:rsid w:val="00E951AC"/>
    <w:pPr>
      <w:keepNext/>
      <w:keepLines/>
      <w:pageBreakBefore/>
      <w:spacing w:after="2000" w:line="840" w:lineRule="exact"/>
      <w:outlineLvl w:val="0"/>
    </w:pPr>
    <w:rPr>
      <w:rFonts w:asciiTheme="majorHAnsi" w:hAnsiTheme="majorHAnsi" w:eastAsiaTheme="majorEastAsia" w:cstheme="majorBidi"/>
      <w:b/>
      <w:color w:val="4E81BD" w:themeColor="accent1"/>
      <w:sz w:val="72"/>
      <w:szCs w:val="56"/>
    </w:rPr>
  </w:style>
  <w:style w:type="character" w:styleId="ParaChar" w:customStyle="1">
    <w:name w:val="Para Char"/>
    <w:basedOn w:val="DefaultParagraphFont"/>
    <w:link w:val="Para0"/>
    <w:uiPriority w:val="4"/>
    <w:rsid w:val="00991A9A"/>
    <w:rPr>
      <w:color w:val="000000" w:themeColor="text1"/>
      <w:sz w:val="20"/>
    </w:rPr>
  </w:style>
  <w:style w:type="character" w:styleId="TitleChar" w:customStyle="1">
    <w:name w:val="Title Char"/>
    <w:basedOn w:val="DefaultParagraphFont"/>
    <w:link w:val="Title"/>
    <w:rsid w:val="00E951AC"/>
    <w:rPr>
      <w:rFonts w:asciiTheme="majorHAnsi" w:hAnsiTheme="majorHAnsi" w:eastAsiaTheme="majorEastAsia" w:cstheme="majorBidi"/>
      <w:b/>
      <w:color w:val="4E81BD" w:themeColor="accent1"/>
      <w:sz w:val="72"/>
      <w:szCs w:val="56"/>
    </w:rPr>
  </w:style>
  <w:style w:type="character" w:styleId="Heading1Char" w:customStyle="1">
    <w:name w:val="Heading 1 Char"/>
    <w:basedOn w:val="DefaultParagraphFont"/>
    <w:link w:val="Heading1"/>
    <w:uiPriority w:val="4"/>
    <w:rsid w:val="007A76BA"/>
    <w:rPr>
      <w:rFonts w:asciiTheme="majorHAnsi" w:hAnsiTheme="majorHAnsi" w:eastAsiaTheme="majorEastAsia" w:cstheme="majorBidi"/>
      <w:b/>
      <w:color w:val="4E81BD" w:themeColor="accent5"/>
      <w:sz w:val="56"/>
      <w:szCs w:val="32"/>
      <w:shd w:val="clear" w:color="auto" w:fill="FFFFFF" w:themeFill="accent2"/>
    </w:rPr>
  </w:style>
  <w:style w:type="character" w:styleId="Heading2Char" w:customStyle="1">
    <w:name w:val="Heading 2 Char"/>
    <w:basedOn w:val="DefaultParagraphFont"/>
    <w:link w:val="Heading2"/>
    <w:uiPriority w:val="7"/>
    <w:rsid w:val="000E5F57"/>
    <w:rPr>
      <w:rFonts w:eastAsiaTheme="majorEastAsia" w:cstheme="majorBidi"/>
      <w:b/>
      <w:color w:val="4E81BD" w:themeColor="accent1"/>
      <w:sz w:val="24"/>
      <w:szCs w:val="26"/>
    </w:rPr>
  </w:style>
  <w:style w:type="character" w:styleId="Heading3Char" w:customStyle="1">
    <w:name w:val="Heading 3 Char"/>
    <w:basedOn w:val="DefaultParagraphFont"/>
    <w:link w:val="Heading3"/>
    <w:uiPriority w:val="9"/>
    <w:rsid w:val="000E5F57"/>
    <w:rPr>
      <w:rFonts w:eastAsiaTheme="majorEastAsia" w:cstheme="majorBidi"/>
      <w:b/>
      <w:i/>
      <w:color w:val="000000" w:themeColor="text1"/>
      <w:szCs w:val="24"/>
    </w:rPr>
  </w:style>
  <w:style w:type="character" w:styleId="Heading4Char" w:customStyle="1">
    <w:name w:val="Heading 4 Char"/>
    <w:basedOn w:val="DefaultParagraphFont"/>
    <w:link w:val="Heading4"/>
    <w:uiPriority w:val="9"/>
    <w:rsid w:val="000E5F57"/>
    <w:rPr>
      <w:rFonts w:eastAsiaTheme="majorEastAsia" w:cstheme="majorBidi"/>
      <w:i/>
      <w:iCs/>
      <w:color w:val="3F3F3F" w:themeColor="text2"/>
    </w:rPr>
  </w:style>
  <w:style w:type="character" w:styleId="Heading5Char" w:customStyle="1">
    <w:name w:val="Heading 5 Char"/>
    <w:basedOn w:val="DefaultParagraphFont"/>
    <w:link w:val="Heading5"/>
    <w:uiPriority w:val="9"/>
    <w:rsid w:val="000E5F57"/>
    <w:rPr>
      <w:rFonts w:eastAsiaTheme="majorEastAsia" w:cstheme="majorBidi"/>
      <w:b/>
      <w:color w:val="000000" w:themeColor="text1"/>
      <w:sz w:val="20"/>
    </w:rPr>
  </w:style>
  <w:style w:type="character" w:styleId="Heading6Char" w:customStyle="1">
    <w:name w:val="Heading 6 Char"/>
    <w:aliases w:val="Part Char"/>
    <w:basedOn w:val="DefaultParagraphFont"/>
    <w:link w:val="Heading6"/>
    <w:uiPriority w:val="3"/>
    <w:rsid w:val="001931F5"/>
    <w:rPr>
      <w:rFonts w:asciiTheme="majorHAnsi" w:hAnsiTheme="majorHAnsi" w:eastAsiaTheme="majorEastAsia" w:cstheme="majorBidi"/>
      <w:b/>
      <w:color w:val="4E81BD" w:themeColor="accent5"/>
      <w:sz w:val="72"/>
      <w:shd w:val="clear" w:color="auto" w:fill="FFFFFF" w:themeFill="accent2"/>
    </w:rPr>
  </w:style>
  <w:style w:type="character" w:styleId="Heading7Char" w:customStyle="1">
    <w:name w:val="Heading 7 Char"/>
    <w:aliases w:val="Doc AnnX Char"/>
    <w:basedOn w:val="DefaultParagraphFont"/>
    <w:link w:val="Heading7"/>
    <w:uiPriority w:val="19"/>
    <w:rsid w:val="001931F5"/>
    <w:rPr>
      <w:rFonts w:asciiTheme="majorHAnsi" w:hAnsiTheme="majorHAnsi" w:eastAsiaTheme="majorEastAsia" w:cstheme="majorBidi"/>
      <w:b/>
      <w:iCs/>
      <w:color w:val="4E81BD" w:themeColor="accent1"/>
      <w:sz w:val="48"/>
      <w:szCs w:val="21"/>
    </w:rPr>
  </w:style>
  <w:style w:type="character" w:styleId="Heading8Char" w:customStyle="1">
    <w:name w:val="Heading 8 Char"/>
    <w:aliases w:val="Part AnnX Char"/>
    <w:basedOn w:val="DefaultParagraphFont"/>
    <w:link w:val="Heading8"/>
    <w:uiPriority w:val="9"/>
    <w:rsid w:val="00B06D82"/>
    <w:rPr>
      <w:rFonts w:asciiTheme="majorHAnsi" w:hAnsiTheme="majorHAnsi" w:eastAsiaTheme="majorEastAsia" w:cstheme="majorBidi"/>
      <w:b/>
      <w:color w:val="4E81BD" w:themeColor="accent1"/>
      <w:sz w:val="28"/>
      <w:szCs w:val="21"/>
    </w:rPr>
  </w:style>
  <w:style w:type="character" w:styleId="Heading9Char" w:customStyle="1">
    <w:name w:val="Heading 9 Char"/>
    <w:aliases w:val="Chap AnnX Char"/>
    <w:basedOn w:val="DefaultParagraphFont"/>
    <w:link w:val="Heading9"/>
    <w:uiPriority w:val="20"/>
    <w:rsid w:val="001931F5"/>
    <w:rPr>
      <w:rFonts w:asciiTheme="majorHAnsi" w:hAnsiTheme="majorHAnsi" w:eastAsiaTheme="majorEastAsia" w:cstheme="majorBidi"/>
      <w:b/>
      <w:iCs/>
      <w:color w:val="4E81BD" w:themeColor="accent1"/>
      <w:sz w:val="48"/>
      <w:szCs w:val="21"/>
    </w:rPr>
  </w:style>
  <w:style w:type="paragraph" w:styleId="Title2" w:customStyle="1">
    <w:name w:val="Title 2"/>
    <w:next w:val="Para0"/>
    <w:uiPriority w:val="1"/>
    <w:qFormat/>
    <w:rsid w:val="00743381"/>
    <w:pPr>
      <w:keepNext/>
      <w:spacing w:before="360" w:after="240" w:line="320" w:lineRule="exact"/>
      <w:outlineLvl w:val="1"/>
    </w:pPr>
    <w:rPr>
      <w:rFonts w:eastAsiaTheme="majorEastAsia" w:cstheme="majorBidi"/>
      <w:b/>
      <w:color w:val="4E81BD" w:themeColor="accent1"/>
      <w:sz w:val="24"/>
      <w:szCs w:val="26"/>
    </w:rPr>
  </w:style>
  <w:style w:type="paragraph" w:styleId="Title3" w:customStyle="1">
    <w:name w:val="Title 3"/>
    <w:next w:val="Para0"/>
    <w:uiPriority w:val="2"/>
    <w:qFormat/>
    <w:rsid w:val="00743381"/>
    <w:pPr>
      <w:keepNext/>
      <w:spacing w:before="280" w:after="180" w:line="280" w:lineRule="exact"/>
      <w:outlineLvl w:val="2"/>
    </w:pPr>
    <w:rPr>
      <w:rFonts w:eastAsiaTheme="majorEastAsia" w:cstheme="majorBidi"/>
      <w:b/>
      <w:i/>
      <w:color w:val="000000" w:themeColor="text1"/>
      <w:szCs w:val="24"/>
    </w:rPr>
  </w:style>
  <w:style w:type="paragraph" w:styleId="Abstract" w:customStyle="1">
    <w:name w:val="Abstract"/>
    <w:uiPriority w:val="5"/>
    <w:qFormat/>
    <w:rsid w:val="007A76BA"/>
    <w:pPr>
      <w:pBdr>
        <w:top w:val="single" w:color="4E81BD" w:themeColor="accent1" w:sz="12" w:space="12"/>
        <w:bottom w:val="single" w:color="4E81BD" w:themeColor="accent1" w:sz="36" w:space="12"/>
      </w:pBdr>
      <w:spacing w:before="3000" w:after="60" w:line="320" w:lineRule="exact"/>
      <w:ind w:left="1247"/>
      <w:contextualSpacing/>
    </w:pPr>
    <w:rPr>
      <w:color w:val="4E81BD" w:themeColor="accent1"/>
      <w:sz w:val="24"/>
    </w:rPr>
  </w:style>
  <w:style w:type="paragraph" w:styleId="Para" w:customStyle="1">
    <w:name w:val="Para #"/>
    <w:uiPriority w:val="4"/>
    <w:qFormat/>
    <w:rsid w:val="00E71E47"/>
    <w:pPr>
      <w:numPr>
        <w:numId w:val="1"/>
      </w:numPr>
      <w:spacing w:before="120" w:after="120" w:line="260" w:lineRule="atLeast"/>
      <w:jc w:val="both"/>
    </w:pPr>
    <w:rPr>
      <w:sz w:val="20"/>
    </w:rPr>
  </w:style>
  <w:style w:type="paragraph" w:styleId="NumberedList" w:customStyle="1">
    <w:name w:val="Numbered List"/>
    <w:uiPriority w:val="12"/>
    <w:qFormat/>
    <w:rsid w:val="00991A9A"/>
    <w:pPr>
      <w:numPr>
        <w:numId w:val="2"/>
      </w:numPr>
      <w:spacing w:after="60" w:line="260" w:lineRule="exact"/>
      <w:jc w:val="both"/>
    </w:pPr>
    <w:rPr>
      <w:color w:val="000000" w:themeColor="text1"/>
      <w:sz w:val="20"/>
    </w:rPr>
  </w:style>
  <w:style w:type="paragraph" w:styleId="BulletedList" w:customStyle="1">
    <w:name w:val="Bulleted List"/>
    <w:uiPriority w:val="12"/>
    <w:qFormat/>
    <w:rsid w:val="00991A9A"/>
    <w:pPr>
      <w:numPr>
        <w:numId w:val="6"/>
      </w:numPr>
      <w:spacing w:after="60" w:line="260" w:lineRule="exact"/>
      <w:jc w:val="both"/>
    </w:pPr>
    <w:rPr>
      <w:color w:val="000000" w:themeColor="text1"/>
      <w:sz w:val="20"/>
    </w:rPr>
  </w:style>
  <w:style w:type="paragraph" w:styleId="ListParagraph">
    <w:name w:val="List Paragraph"/>
    <w:basedOn w:val="Normal"/>
    <w:uiPriority w:val="34"/>
    <w:semiHidden/>
    <w:rsid w:val="004230BA"/>
    <w:pPr>
      <w:ind w:left="720"/>
      <w:contextualSpacing/>
    </w:pPr>
  </w:style>
  <w:style w:type="paragraph" w:styleId="CaptionSubtitle" w:customStyle="1">
    <w:name w:val="Caption Subtitle"/>
    <w:next w:val="Para0"/>
    <w:qFormat/>
    <w:rsid w:val="008F0F84"/>
    <w:pPr>
      <w:keepNext/>
      <w:spacing w:after="180" w:line="260" w:lineRule="exact"/>
    </w:pPr>
    <w:rPr>
      <w:rFonts w:asciiTheme="majorHAnsi" w:hAnsiTheme="majorHAnsi"/>
      <w:color w:val="000000" w:themeColor="text1"/>
    </w:rPr>
  </w:style>
  <w:style w:type="paragraph" w:styleId="Caption">
    <w:name w:val="caption"/>
    <w:next w:val="CaptionSubtitle"/>
    <w:uiPriority w:val="35"/>
    <w:unhideWhenUsed/>
    <w:rsid w:val="00196642"/>
    <w:pPr>
      <w:keepNext/>
      <w:spacing w:before="360" w:after="180" w:line="280" w:lineRule="exact"/>
    </w:pPr>
    <w:rPr>
      <w:rFonts w:asciiTheme="majorHAnsi" w:hAnsiTheme="majorHAnsi"/>
      <w:b/>
      <w:iCs/>
      <w:color w:val="4E81BD" w:themeColor="accent1"/>
      <w:sz w:val="24"/>
      <w:szCs w:val="18"/>
    </w:rPr>
  </w:style>
  <w:style w:type="paragraph" w:styleId="BoxHeading" w:customStyle="1">
    <w:name w:val="Box Heading"/>
    <w:next w:val="Para0"/>
    <w:uiPriority w:val="11"/>
    <w:qFormat/>
    <w:rsid w:val="002A2091"/>
    <w:pPr>
      <w:keepNext/>
      <w:spacing w:before="180" w:after="120"/>
    </w:pPr>
    <w:rPr>
      <w:rFonts w:asciiTheme="majorHAnsi" w:hAnsiTheme="majorHAnsi"/>
      <w:b/>
      <w:color w:val="000000" w:themeColor="text1"/>
    </w:rPr>
  </w:style>
  <w:style w:type="paragraph" w:styleId="Sourcenotes" w:customStyle="1">
    <w:name w:val="Source &amp; notes"/>
    <w:uiPriority w:val="16"/>
    <w:qFormat/>
    <w:rsid w:val="00991A9A"/>
    <w:pPr>
      <w:keepLines/>
      <w:spacing w:before="120" w:after="360" w:line="220" w:lineRule="exact"/>
      <w:contextualSpacing/>
      <w:jc w:val="both"/>
    </w:pPr>
    <w:rPr>
      <w:rFonts w:asciiTheme="majorHAnsi" w:hAnsiTheme="majorHAnsi"/>
      <w:color w:val="000000" w:themeColor="text1"/>
      <w:sz w:val="18"/>
    </w:rPr>
  </w:style>
  <w:style w:type="paragraph" w:styleId="TableCell" w:customStyle="1">
    <w:name w:val="Table Cell"/>
    <w:basedOn w:val="Normal"/>
    <w:uiPriority w:val="9"/>
    <w:qFormat/>
    <w:rsid w:val="00196642"/>
    <w:pPr>
      <w:spacing w:before="10" w:after="20" w:line="200" w:lineRule="exact"/>
      <w:jc w:val="right"/>
    </w:pPr>
    <w:rPr>
      <w:rFonts w:ascii="Arial Narrow" w:hAnsi="Arial Narrow"/>
      <w:color w:val="000000" w:themeColor="text1"/>
      <w:sz w:val="17"/>
    </w:rPr>
  </w:style>
  <w:style w:type="paragraph" w:styleId="TableRow" w:customStyle="1">
    <w:name w:val="Table Row"/>
    <w:qFormat/>
    <w:rsid w:val="00196642"/>
    <w:pPr>
      <w:spacing w:before="10" w:after="20" w:line="200" w:lineRule="exact"/>
    </w:pPr>
    <w:rPr>
      <w:rFonts w:ascii="Arial Narrow" w:hAnsi="Arial Narrow"/>
      <w:color w:val="000000" w:themeColor="text1"/>
      <w:sz w:val="17"/>
    </w:rPr>
  </w:style>
  <w:style w:type="paragraph" w:styleId="TableColumn" w:customStyle="1">
    <w:name w:val="Table Column"/>
    <w:qFormat/>
    <w:rsid w:val="00196642"/>
    <w:pPr>
      <w:spacing w:before="20" w:after="0" w:line="220" w:lineRule="exact"/>
      <w:jc w:val="center"/>
    </w:pPr>
    <w:rPr>
      <w:rFonts w:ascii="Arial Narrow" w:hAnsi="Arial Narrow"/>
      <w:color w:val="000000" w:themeColor="text1"/>
      <w:sz w:val="18"/>
    </w:rPr>
  </w:style>
  <w:style w:type="paragraph" w:styleId="Quotationshort" w:customStyle="1">
    <w:name w:val="Quotation (short)"/>
    <w:uiPriority w:val="17"/>
    <w:qFormat/>
    <w:rsid w:val="004A117A"/>
    <w:pPr>
      <w:spacing w:before="360" w:after="360" w:line="360" w:lineRule="exact"/>
      <w:ind w:left="2268"/>
      <w:jc w:val="both"/>
    </w:pPr>
    <w:rPr>
      <w:rFonts w:asciiTheme="majorHAnsi" w:hAnsiTheme="majorHAnsi"/>
      <w:iCs/>
      <w:color w:val="4E81BD" w:themeColor="accent1"/>
      <w:sz w:val="28"/>
    </w:rPr>
  </w:style>
  <w:style w:type="paragraph" w:styleId="Quote">
    <w:name w:val="Quote"/>
    <w:aliases w:val="Quotation (long)"/>
    <w:basedOn w:val="Normal"/>
    <w:link w:val="QuoteChar"/>
    <w:uiPriority w:val="18"/>
    <w:qFormat/>
    <w:rsid w:val="002E0230"/>
    <w:pPr>
      <w:widowControl/>
      <w:pBdr>
        <w:left w:val="single" w:color="7F7F7F" w:themeColor="text1" w:themeTint="80" w:sz="18" w:space="4"/>
      </w:pBdr>
      <w:spacing w:before="180" w:after="180"/>
      <w:ind w:left="680" w:right="680"/>
    </w:pPr>
    <w:rPr>
      <w:rFonts w:asciiTheme="majorHAnsi" w:hAnsiTheme="majorHAnsi"/>
      <w:i/>
      <w:iCs/>
      <w:color w:val="000000" w:themeColor="text1"/>
      <w:sz w:val="20"/>
    </w:rPr>
  </w:style>
  <w:style w:type="character" w:styleId="QuoteChar" w:customStyle="1">
    <w:name w:val="Quote Char"/>
    <w:aliases w:val="Quotation (long) Char"/>
    <w:basedOn w:val="DefaultParagraphFont"/>
    <w:link w:val="Quote"/>
    <w:uiPriority w:val="18"/>
    <w:rsid w:val="002E0230"/>
    <w:rPr>
      <w:rFonts w:asciiTheme="majorHAnsi" w:hAnsiTheme="majorHAnsi"/>
      <w:i/>
      <w:iCs/>
      <w:color w:val="000000" w:themeColor="text1"/>
      <w:sz w:val="20"/>
    </w:rPr>
  </w:style>
  <w:style w:type="paragraph" w:styleId="AnnexH2" w:customStyle="1">
    <w:name w:val="Annex H2"/>
    <w:next w:val="Para0"/>
    <w:uiPriority w:val="21"/>
    <w:qFormat/>
    <w:rsid w:val="00F76FA7"/>
    <w:pPr>
      <w:keepNext/>
      <w:spacing w:before="360" w:after="240" w:line="320" w:lineRule="exact"/>
      <w:outlineLvl w:val="2"/>
    </w:pPr>
    <w:rPr>
      <w:b/>
      <w:color w:val="4E81BD" w:themeColor="accent1"/>
      <w:sz w:val="24"/>
    </w:rPr>
  </w:style>
  <w:style w:type="paragraph" w:styleId="AnnexH3" w:customStyle="1">
    <w:name w:val="Annex H3"/>
    <w:next w:val="Para0"/>
    <w:uiPriority w:val="21"/>
    <w:qFormat/>
    <w:rsid w:val="00F76FA7"/>
    <w:pPr>
      <w:keepNext/>
      <w:keepLines/>
      <w:spacing w:before="280" w:after="180" w:line="280" w:lineRule="exact"/>
      <w:outlineLvl w:val="3"/>
    </w:pPr>
    <w:rPr>
      <w:b/>
      <w:i/>
      <w:color w:val="3F3F3F" w:themeColor="text2"/>
    </w:rPr>
  </w:style>
  <w:style w:type="paragraph" w:styleId="Disclaimer" w:customStyle="1">
    <w:name w:val="Disclaimer"/>
    <w:basedOn w:val="Para0"/>
    <w:rsid w:val="00326CAE"/>
    <w:pPr>
      <w:pBdr>
        <w:top w:val="single" w:color="auto" w:sz="4" w:space="6"/>
      </w:pBdr>
      <w:spacing w:before="0" w:line="220" w:lineRule="exact"/>
    </w:pPr>
    <w:rPr>
      <w:sz w:val="18"/>
    </w:rPr>
  </w:style>
  <w:style w:type="paragraph" w:styleId="Action" w:customStyle="1">
    <w:name w:val="Action"/>
    <w:basedOn w:val="Para0"/>
    <w:next w:val="Heading2"/>
    <w:rsid w:val="00326CAE"/>
    <w:rPr>
      <w:u w:val="single"/>
    </w:rPr>
  </w:style>
  <w:style w:type="paragraph" w:styleId="Annotation" w:customStyle="1">
    <w:name w:val="Annotation"/>
    <w:basedOn w:val="Normal"/>
    <w:rsid w:val="004243B4"/>
    <w:pPr>
      <w:numPr>
        <w:numId w:val="3"/>
      </w:numPr>
      <w:pBdr>
        <w:bottom w:val="single" w:color="auto" w:sz="4" w:space="10"/>
      </w:pBdr>
      <w:spacing w:before="120" w:after="120"/>
      <w:ind w:left="981" w:hanging="414"/>
      <w:jc w:val="left"/>
    </w:pPr>
  </w:style>
  <w:style w:type="paragraph" w:styleId="Bibliography">
    <w:name w:val="Bibliography"/>
    <w:basedOn w:val="Normal"/>
    <w:next w:val="Normal"/>
    <w:uiPriority w:val="37"/>
    <w:unhideWhenUsed/>
    <w:rsid w:val="00033E50"/>
    <w:pPr>
      <w:spacing w:after="60" w:line="260" w:lineRule="exact"/>
      <w:ind w:left="284" w:hanging="284"/>
      <w:jc w:val="left"/>
    </w:pPr>
    <w:rPr>
      <w:sz w:val="20"/>
    </w:rPr>
  </w:style>
  <w:style w:type="paragraph" w:styleId="Break" w:customStyle="1">
    <w:name w:val="Break"/>
    <w:basedOn w:val="Normal"/>
    <w:next w:val="Time"/>
    <w:rsid w:val="00CA2765"/>
    <w:pPr>
      <w:pBdr>
        <w:top w:val="single" w:color="auto" w:sz="4" w:space="4"/>
        <w:bottom w:val="single" w:color="auto" w:sz="4" w:space="4"/>
      </w:pBdr>
      <w:shd w:val="pct5" w:color="auto" w:fill="auto"/>
      <w:jc w:val="center"/>
    </w:pPr>
    <w:rPr>
      <w:i/>
    </w:rPr>
  </w:style>
  <w:style w:type="paragraph" w:styleId="Time" w:customStyle="1">
    <w:name w:val="Time"/>
    <w:basedOn w:val="Normal"/>
    <w:next w:val="Para0"/>
    <w:rsid w:val="00E67FB6"/>
    <w:pPr>
      <w:keepNext/>
      <w:spacing w:before="240" w:after="120"/>
      <w:ind w:left="851"/>
    </w:pPr>
    <w:rPr>
      <w:b/>
      <w:i/>
    </w:rPr>
  </w:style>
  <w:style w:type="paragraph" w:styleId="Conclusion" w:customStyle="1">
    <w:name w:val="Conclusion"/>
    <w:basedOn w:val="Para0"/>
    <w:next w:val="Heading1"/>
    <w:rsid w:val="0052749E"/>
    <w:pPr>
      <w:jc w:val="center"/>
    </w:pPr>
    <w:rPr>
      <w:b/>
    </w:rPr>
  </w:style>
  <w:style w:type="character" w:styleId="EndnoteReference">
    <w:name w:val="endnote reference"/>
    <w:basedOn w:val="DefaultParagraphFont"/>
    <w:uiPriority w:val="99"/>
    <w:semiHidden/>
    <w:unhideWhenUsed/>
    <w:rsid w:val="00F443C5"/>
    <w:rPr>
      <w:rFonts w:asciiTheme="minorHAnsi" w:hAnsiTheme="minorHAnsi"/>
      <w:sz w:val="22"/>
      <w:vertAlign w:val="superscript"/>
    </w:rPr>
  </w:style>
  <w:style w:type="paragraph" w:styleId="FootnoteText">
    <w:name w:val="footnote text"/>
    <w:link w:val="FootnoteTextChar"/>
    <w:uiPriority w:val="99"/>
    <w:semiHidden/>
    <w:unhideWhenUsed/>
    <w:rsid w:val="00EA6A82"/>
    <w:pPr>
      <w:spacing w:after="120" w:line="240" w:lineRule="exact"/>
      <w:jc w:val="both"/>
    </w:pPr>
    <w:rPr>
      <w:sz w:val="18"/>
      <w:szCs w:val="20"/>
    </w:rPr>
  </w:style>
  <w:style w:type="character" w:styleId="FootnoteTextChar" w:customStyle="1">
    <w:name w:val="Footnote Text Char"/>
    <w:basedOn w:val="DefaultParagraphFont"/>
    <w:link w:val="FootnoteText"/>
    <w:uiPriority w:val="99"/>
    <w:semiHidden/>
    <w:rsid w:val="00EA6A82"/>
    <w:rPr>
      <w:sz w:val="18"/>
      <w:szCs w:val="20"/>
    </w:rPr>
  </w:style>
  <w:style w:type="paragraph" w:styleId="EndnoteText">
    <w:name w:val="endnote text"/>
    <w:link w:val="EndnoteTextChar"/>
    <w:uiPriority w:val="99"/>
    <w:semiHidden/>
    <w:unhideWhenUsed/>
    <w:rsid w:val="000A5133"/>
    <w:pPr>
      <w:jc w:val="both"/>
    </w:pPr>
    <w:rPr>
      <w:sz w:val="20"/>
      <w:szCs w:val="20"/>
    </w:rPr>
  </w:style>
  <w:style w:type="character" w:styleId="EndnoteTextChar" w:customStyle="1">
    <w:name w:val="Endnote Text Char"/>
    <w:basedOn w:val="DefaultParagraphFont"/>
    <w:link w:val="EndnoteText"/>
    <w:uiPriority w:val="99"/>
    <w:semiHidden/>
    <w:rsid w:val="000A5133"/>
    <w:rPr>
      <w:sz w:val="20"/>
      <w:szCs w:val="20"/>
    </w:rPr>
  </w:style>
  <w:style w:type="paragraph" w:styleId="Figure" w:customStyle="1">
    <w:name w:val="Figure"/>
    <w:basedOn w:val="Normal"/>
    <w:rsid w:val="000E2815"/>
    <w:pPr>
      <w:jc w:val="center"/>
    </w:pPr>
  </w:style>
  <w:style w:type="paragraph" w:styleId="Footer">
    <w:name w:val="footer"/>
    <w:basedOn w:val="Normal"/>
    <w:link w:val="FooterChar"/>
    <w:uiPriority w:val="99"/>
    <w:rsid w:val="00404A52"/>
    <w:pPr>
      <w:tabs>
        <w:tab w:val="center" w:pos="4513"/>
        <w:tab w:val="right" w:pos="9026"/>
      </w:tabs>
      <w:spacing w:before="120"/>
      <w:jc w:val="center"/>
    </w:pPr>
    <w:rPr>
      <w:caps/>
      <w:sz w:val="16"/>
    </w:rPr>
  </w:style>
  <w:style w:type="character" w:styleId="FooterChar" w:customStyle="1">
    <w:name w:val="Footer Char"/>
    <w:basedOn w:val="DefaultParagraphFont"/>
    <w:link w:val="Footer"/>
    <w:uiPriority w:val="99"/>
    <w:rsid w:val="00404A52"/>
    <w:rPr>
      <w:caps/>
      <w:sz w:val="16"/>
    </w:rPr>
  </w:style>
  <w:style w:type="paragraph" w:styleId="Para1" w:customStyle="1">
    <w:name w:val="Para #.#"/>
    <w:basedOn w:val="Para"/>
    <w:uiPriority w:val="4"/>
    <w:rsid w:val="00EC45EF"/>
    <w:pPr>
      <w:tabs>
        <w:tab w:val="left" w:pos="1361"/>
      </w:tabs>
    </w:pPr>
  </w:style>
  <w:style w:type="paragraph" w:styleId="CoverNormal" w:customStyle="1">
    <w:name w:val="CoverNormal"/>
    <w:basedOn w:val="Normal"/>
    <w:link w:val="CoverNormalChar"/>
    <w:rsid w:val="00EF6B7C"/>
    <w:pPr>
      <w:jc w:val="left"/>
    </w:pPr>
    <w:rPr>
      <w:rFonts w:asciiTheme="majorHAnsi" w:hAnsiTheme="majorHAnsi"/>
    </w:rPr>
  </w:style>
  <w:style w:type="paragraph" w:styleId="CoverAbstract" w:customStyle="1">
    <w:name w:val="CoverAbstract"/>
    <w:basedOn w:val="CoverNormal"/>
    <w:semiHidden/>
    <w:rsid w:val="00EC45EF"/>
  </w:style>
  <w:style w:type="paragraph" w:styleId="CoverCancel" w:customStyle="1">
    <w:name w:val="CoverCancel"/>
    <w:basedOn w:val="CoverNormal"/>
    <w:link w:val="CoverCancelChar"/>
    <w:rsid w:val="00EC45EF"/>
    <w:pPr>
      <w:spacing w:before="240" w:after="120" w:line="312" w:lineRule="auto"/>
      <w:jc w:val="center"/>
    </w:pPr>
    <w:rPr>
      <w:b/>
    </w:rPr>
  </w:style>
  <w:style w:type="paragraph" w:styleId="CoverClassification" w:customStyle="1">
    <w:name w:val="CoverClassification"/>
    <w:basedOn w:val="CoverNormal"/>
    <w:rsid w:val="00EC45EF"/>
    <w:rPr>
      <w:b/>
    </w:rPr>
  </w:style>
  <w:style w:type="paragraph" w:styleId="CoverCommittee" w:customStyle="1">
    <w:name w:val="CoverCommittee"/>
    <w:basedOn w:val="CoverNormal"/>
    <w:rsid w:val="00EC45EF"/>
    <w:rPr>
      <w:b/>
    </w:rPr>
  </w:style>
  <w:style w:type="character" w:styleId="CoverCote" w:customStyle="1">
    <w:name w:val="CoverCote"/>
    <w:basedOn w:val="DefaultParagraphFont"/>
    <w:rsid w:val="00EF6B7C"/>
    <w:rPr>
      <w:rFonts w:asciiTheme="majorHAnsi" w:hAnsiTheme="majorHAnsi"/>
      <w:b/>
      <w:caps/>
      <w:smallCaps w:val="0"/>
      <w:sz w:val="22"/>
    </w:rPr>
  </w:style>
  <w:style w:type="paragraph" w:styleId="CoverDate" w:customStyle="1">
    <w:name w:val="CoverDate"/>
    <w:basedOn w:val="CoverNormal"/>
    <w:link w:val="CoverDateChar"/>
    <w:rsid w:val="00EC45EF"/>
    <w:pPr>
      <w:spacing w:before="40" w:after="40"/>
      <w:jc w:val="right"/>
    </w:pPr>
    <w:rPr>
      <w:b/>
      <w:sz w:val="18"/>
    </w:rPr>
  </w:style>
  <w:style w:type="paragraph" w:styleId="CoverDisclaimer" w:customStyle="1">
    <w:name w:val="CoverDisclaimer"/>
    <w:basedOn w:val="CoverNormal"/>
    <w:rsid w:val="00C3172F"/>
    <w:pPr>
      <w:spacing w:line="312" w:lineRule="auto"/>
      <w:jc w:val="both"/>
    </w:pPr>
    <w:rPr>
      <w:b/>
      <w:i/>
      <w:sz w:val="16"/>
    </w:rPr>
  </w:style>
  <w:style w:type="paragraph" w:styleId="CoverInformation" w:customStyle="1">
    <w:name w:val="CoverInformation"/>
    <w:basedOn w:val="CoverNormal"/>
    <w:rsid w:val="00EF6B7C"/>
  </w:style>
  <w:style w:type="paragraph" w:styleId="CoverJobTicket" w:customStyle="1">
    <w:name w:val="CoverJobTicket"/>
    <w:basedOn w:val="CoverNormal"/>
    <w:rsid w:val="00C3172F"/>
    <w:rPr>
      <w:b/>
    </w:rPr>
  </w:style>
  <w:style w:type="paragraph" w:styleId="CoverLanguage" w:customStyle="1">
    <w:name w:val="CoverLanguage"/>
    <w:basedOn w:val="CoverNormal"/>
    <w:rsid w:val="00C3172F"/>
    <w:pPr>
      <w:jc w:val="right"/>
    </w:pPr>
    <w:rPr>
      <w:b/>
    </w:rPr>
  </w:style>
  <w:style w:type="paragraph" w:styleId="CoverPwbCode" w:customStyle="1">
    <w:name w:val="CoverPwbCode"/>
    <w:basedOn w:val="CoverNormal"/>
    <w:rsid w:val="00C3172F"/>
    <w:pPr>
      <w:spacing w:after="120"/>
    </w:pPr>
    <w:rPr>
      <w:b/>
    </w:rPr>
  </w:style>
  <w:style w:type="paragraph" w:styleId="CoverSeriesTitlePublication" w:customStyle="1">
    <w:name w:val="CoverSeriesTitlePublication"/>
    <w:basedOn w:val="CoverNormal"/>
    <w:rsid w:val="00C3172F"/>
    <w:pPr>
      <w:spacing w:after="40"/>
    </w:pPr>
    <w:rPr>
      <w:sz w:val="32"/>
    </w:rPr>
  </w:style>
  <w:style w:type="paragraph" w:styleId="CoverSubTitle" w:customStyle="1">
    <w:name w:val="CoverSubTitle"/>
    <w:basedOn w:val="CoverNormal"/>
    <w:link w:val="CoverSubTitleChar"/>
    <w:rsid w:val="00C3172F"/>
    <w:rPr>
      <w:b/>
    </w:rPr>
  </w:style>
  <w:style w:type="paragraph" w:styleId="CoverSubtitlePublication" w:customStyle="1">
    <w:name w:val="CoverSubtitlePublication"/>
    <w:basedOn w:val="CoverNormal"/>
    <w:rsid w:val="00C3172F"/>
    <w:pPr>
      <w:jc w:val="center"/>
    </w:pPr>
    <w:rPr>
      <w:sz w:val="40"/>
    </w:rPr>
  </w:style>
  <w:style w:type="character" w:styleId="CoverTable" w:customStyle="1">
    <w:name w:val="CoverTable"/>
    <w:uiPriority w:val="1"/>
    <w:semiHidden/>
    <w:rsid w:val="00C3172F"/>
  </w:style>
  <w:style w:type="paragraph" w:styleId="CoverTitle" w:customStyle="1">
    <w:name w:val="CoverTitle"/>
    <w:basedOn w:val="CoverNormal"/>
    <w:link w:val="CoverTitleChar"/>
    <w:rsid w:val="00C3172F"/>
    <w:pPr>
      <w:spacing w:after="240"/>
    </w:pPr>
    <w:rPr>
      <w:b/>
      <w:sz w:val="24"/>
    </w:rPr>
  </w:style>
  <w:style w:type="paragraph" w:styleId="CoverTitlePublication" w:customStyle="1">
    <w:name w:val="CoverTitlePublication"/>
    <w:basedOn w:val="CoverNormal"/>
    <w:rsid w:val="00C3172F"/>
    <w:pPr>
      <w:jc w:val="center"/>
    </w:pPr>
    <w:rPr>
      <w:b/>
      <w:sz w:val="52"/>
    </w:rPr>
  </w:style>
  <w:style w:type="paragraph" w:styleId="CoverWorkingParty" w:customStyle="1">
    <w:name w:val="CoverWorkingParty"/>
    <w:basedOn w:val="CoverNormal"/>
    <w:rsid w:val="00C3172F"/>
    <w:rPr>
      <w:b/>
      <w:sz w:val="24"/>
    </w:rPr>
  </w:style>
  <w:style w:type="paragraph" w:styleId="FooterClassification" w:customStyle="1">
    <w:name w:val="Footer Classification"/>
    <w:basedOn w:val="Normal"/>
    <w:rsid w:val="00404A52"/>
    <w:pPr>
      <w:jc w:val="right"/>
    </w:pPr>
    <w:rPr>
      <w:sz w:val="16"/>
    </w:rPr>
  </w:style>
  <w:style w:type="character" w:styleId="FootnoteReference">
    <w:name w:val="footnote reference"/>
    <w:basedOn w:val="DefaultParagraphFont"/>
    <w:uiPriority w:val="99"/>
    <w:semiHidden/>
    <w:unhideWhenUsed/>
    <w:rsid w:val="00F443C5"/>
    <w:rPr>
      <w:rFonts w:asciiTheme="minorHAnsi" w:hAnsiTheme="minorHAnsi"/>
      <w:sz w:val="22"/>
      <w:vertAlign w:val="superscript"/>
    </w:rPr>
  </w:style>
  <w:style w:type="paragraph" w:styleId="GroupHeading" w:customStyle="1">
    <w:name w:val="Group Heading"/>
    <w:basedOn w:val="Normal"/>
    <w:next w:val="Para0"/>
    <w:rsid w:val="00CC1A99"/>
    <w:pPr>
      <w:keepNext/>
      <w:numPr>
        <w:numId w:val="4"/>
      </w:numPr>
      <w:pBdr>
        <w:top w:val="single" w:color="auto" w:sz="4" w:space="1"/>
      </w:pBdr>
      <w:spacing w:after="120"/>
      <w:ind w:left="357" w:hanging="357"/>
      <w:jc w:val="left"/>
    </w:pPr>
    <w:rPr>
      <w:b/>
      <w:i/>
      <w:color w:val="4E81BD"/>
    </w:rPr>
  </w:style>
  <w:style w:type="paragraph" w:styleId="Header">
    <w:name w:val="header"/>
    <w:basedOn w:val="Normal"/>
    <w:link w:val="HeaderChar"/>
    <w:uiPriority w:val="99"/>
    <w:rsid w:val="00CC1A99"/>
    <w:pPr>
      <w:tabs>
        <w:tab w:val="center" w:pos="4513"/>
        <w:tab w:val="right" w:pos="9026"/>
      </w:tabs>
    </w:pPr>
  </w:style>
  <w:style w:type="character" w:styleId="HeaderChar" w:customStyle="1">
    <w:name w:val="Header Char"/>
    <w:basedOn w:val="DefaultParagraphFont"/>
    <w:link w:val="Header"/>
    <w:uiPriority w:val="99"/>
    <w:rsid w:val="0056606B"/>
    <w:rPr>
      <w:rFonts w:ascii="Times New Roman" w:hAnsi="Times New Roman"/>
    </w:rPr>
  </w:style>
  <w:style w:type="character" w:styleId="HeaderCoteChar" w:customStyle="1">
    <w:name w:val="Header Cote (Char)"/>
    <w:basedOn w:val="DefaultParagraphFont"/>
    <w:uiPriority w:val="1"/>
    <w:semiHidden/>
    <w:rsid w:val="00CC1A99"/>
    <w:rPr>
      <w:rFonts w:ascii="Times New Roman" w:hAnsi="Times New Roman"/>
      <w:sz w:val="22"/>
    </w:rPr>
  </w:style>
  <w:style w:type="paragraph" w:styleId="HeaderOdd" w:customStyle="1">
    <w:name w:val="Header Odd"/>
    <w:basedOn w:val="Normal"/>
    <w:next w:val="Normal"/>
    <w:rsid w:val="004E4993"/>
    <w:pPr>
      <w:pBdr>
        <w:bottom w:val="single" w:color="auto" w:sz="4" w:space="0"/>
      </w:pBdr>
      <w:jc w:val="right"/>
    </w:pPr>
    <w:rPr>
      <w:sz w:val="2"/>
    </w:rPr>
  </w:style>
  <w:style w:type="paragraph" w:styleId="HeaderEven" w:customStyle="1">
    <w:name w:val="Header Even"/>
    <w:basedOn w:val="HeaderOdd"/>
    <w:rsid w:val="004E4993"/>
    <w:pPr>
      <w:jc w:val="left"/>
    </w:pPr>
  </w:style>
  <w:style w:type="character" w:styleId="HeaderTitle" w:customStyle="1">
    <w:name w:val="Header Title"/>
    <w:uiPriority w:val="1"/>
    <w:rsid w:val="00D43B52"/>
    <w:rPr>
      <w:rFonts w:asciiTheme="minorHAnsi" w:hAnsiTheme="minorHAnsi"/>
      <w:caps/>
      <w:smallCaps w:val="0"/>
      <w:sz w:val="18"/>
    </w:rPr>
  </w:style>
  <w:style w:type="paragraph" w:styleId="ImportantInformation" w:customStyle="1">
    <w:name w:val="Important Information"/>
    <w:basedOn w:val="Para0"/>
    <w:rsid w:val="003957E7"/>
    <w:pPr>
      <w:spacing w:after="480"/>
      <w:ind w:left="284" w:right="284"/>
      <w:jc w:val="center"/>
    </w:pPr>
  </w:style>
  <w:style w:type="paragraph" w:styleId="Notes" w:customStyle="1">
    <w:name w:val="Notes"/>
    <w:basedOn w:val="Normal"/>
    <w:rsid w:val="00024178"/>
    <w:pPr>
      <w:keepNext/>
      <w:keepLines/>
      <w:spacing w:before="120"/>
      <w:ind w:left="680" w:right="680"/>
      <w:contextualSpacing/>
    </w:pPr>
    <w:rPr>
      <w:sz w:val="18"/>
    </w:rPr>
  </w:style>
  <w:style w:type="character" w:styleId="PageNumber">
    <w:name w:val="page number"/>
    <w:basedOn w:val="DefaultParagraphFont"/>
    <w:uiPriority w:val="99"/>
    <w:rsid w:val="00D43B52"/>
    <w:rPr>
      <w:rFonts w:asciiTheme="minorHAnsi" w:hAnsiTheme="minorHAnsi"/>
      <w:b/>
      <w:sz w:val="22"/>
    </w:rPr>
  </w:style>
  <w:style w:type="paragraph" w:styleId="ProposedAction" w:customStyle="1">
    <w:name w:val="Proposed Action"/>
    <w:basedOn w:val="Para0"/>
    <w:rsid w:val="003E0362"/>
    <w:pPr>
      <w:numPr>
        <w:numId w:val="5"/>
      </w:numPr>
      <w:tabs>
        <w:tab w:val="num" w:pos="360"/>
        <w:tab w:val="left" w:pos="425"/>
      </w:tabs>
      <w:spacing w:before="0" w:after="240"/>
      <w:ind w:left="2268" w:hanging="425"/>
    </w:pPr>
  </w:style>
  <w:style w:type="paragraph" w:styleId="RefDocuments" w:customStyle="1">
    <w:name w:val="Ref Documents"/>
    <w:basedOn w:val="Para0"/>
    <w:next w:val="Annotation"/>
    <w:rsid w:val="00E53877"/>
    <w:pPr>
      <w:ind w:left="7371"/>
      <w:contextualSpacing/>
    </w:pPr>
  </w:style>
  <w:style w:type="paragraph" w:styleId="Session" w:customStyle="1">
    <w:name w:val="Session"/>
    <w:basedOn w:val="Normal"/>
    <w:next w:val="Time"/>
    <w:rsid w:val="002C1DD6"/>
    <w:pPr>
      <w:keepNext/>
      <w:spacing w:after="240"/>
      <w:jc w:val="left"/>
    </w:pPr>
    <w:rPr>
      <w:i/>
      <w:u w:val="single"/>
    </w:rPr>
  </w:style>
  <w:style w:type="paragraph" w:styleId="SpecialItem" w:customStyle="1">
    <w:name w:val="Special Item"/>
    <w:basedOn w:val="Normal"/>
    <w:next w:val="Time"/>
    <w:rsid w:val="002C1DD6"/>
    <w:pPr>
      <w:spacing w:before="240" w:after="240"/>
    </w:pPr>
    <w:rPr>
      <w:i/>
    </w:rPr>
  </w:style>
  <w:style w:type="character" w:styleId="StatLinkDOI" w:customStyle="1">
    <w:name w:val="StatLink DOI"/>
    <w:basedOn w:val="DefaultParagraphFont"/>
    <w:uiPriority w:val="1"/>
    <w:rsid w:val="00366BED"/>
    <w:rPr>
      <w:rFonts w:asciiTheme="majorHAnsi" w:hAnsiTheme="majorHAnsi"/>
      <w:sz w:val="18"/>
    </w:rPr>
  </w:style>
  <w:style w:type="paragraph" w:styleId="StatLinkLogo" w:customStyle="1">
    <w:name w:val="StatLink Logo"/>
    <w:basedOn w:val="Para0"/>
    <w:next w:val="Para0"/>
    <w:rsid w:val="00196642"/>
    <w:pPr>
      <w:spacing w:before="0" w:after="240" w:line="240" w:lineRule="auto"/>
      <w:jc w:val="right"/>
    </w:pPr>
    <w:rPr>
      <w:rFonts w:ascii="StatLink" w:hAnsi="StatLink"/>
      <w:sz w:val="18"/>
    </w:rPr>
  </w:style>
  <w:style w:type="paragraph" w:styleId="TableofFigures">
    <w:name w:val="table of figures"/>
    <w:next w:val="Normal"/>
    <w:uiPriority w:val="99"/>
    <w:rsid w:val="00907E59"/>
    <w:pPr>
      <w:tabs>
        <w:tab w:val="right" w:pos="9072"/>
      </w:tabs>
      <w:spacing w:after="0" w:line="220" w:lineRule="exact"/>
      <w:ind w:right="510"/>
    </w:pPr>
    <w:rPr>
      <w:color w:val="000000" w:themeColor="text1"/>
      <w:sz w:val="18"/>
    </w:rPr>
  </w:style>
  <w:style w:type="paragraph" w:styleId="TOC1">
    <w:name w:val="toc 1"/>
    <w:next w:val="Normal"/>
    <w:uiPriority w:val="39"/>
    <w:unhideWhenUsed/>
    <w:rsid w:val="00160B10"/>
    <w:pPr>
      <w:keepNext/>
      <w:tabs>
        <w:tab w:val="right" w:pos="9072"/>
      </w:tabs>
      <w:spacing w:before="240" w:after="40" w:line="300" w:lineRule="exact"/>
      <w:ind w:left="284" w:right="652" w:hanging="284"/>
    </w:pPr>
    <w:rPr>
      <w:rFonts w:asciiTheme="majorHAnsi" w:hAnsiTheme="majorHAnsi"/>
      <w:color w:val="4E81BD" w:themeColor="accent1"/>
      <w:sz w:val="28"/>
    </w:rPr>
  </w:style>
  <w:style w:type="paragraph" w:styleId="TOC2">
    <w:name w:val="toc 2"/>
    <w:next w:val="Normal"/>
    <w:uiPriority w:val="39"/>
    <w:unhideWhenUsed/>
    <w:rsid w:val="00A81F07"/>
    <w:pPr>
      <w:tabs>
        <w:tab w:val="right" w:pos="9072"/>
      </w:tabs>
      <w:spacing w:before="20" w:after="20" w:line="240" w:lineRule="exact"/>
      <w:ind w:left="284" w:right="510"/>
    </w:pPr>
    <w:rPr>
      <w:color w:val="000000" w:themeColor="text1"/>
      <w:sz w:val="20"/>
    </w:rPr>
  </w:style>
  <w:style w:type="paragraph" w:styleId="TOC3">
    <w:name w:val="toc 3"/>
    <w:next w:val="Normal"/>
    <w:autoRedefine/>
    <w:uiPriority w:val="39"/>
    <w:unhideWhenUsed/>
    <w:rsid w:val="00C03067"/>
    <w:pPr>
      <w:tabs>
        <w:tab w:val="right" w:pos="9072"/>
      </w:tabs>
      <w:spacing w:after="0" w:line="240" w:lineRule="exact"/>
      <w:ind w:left="454" w:right="510"/>
    </w:pPr>
    <w:rPr>
      <w:color w:val="000000" w:themeColor="text1"/>
      <w:sz w:val="20"/>
    </w:rPr>
  </w:style>
  <w:style w:type="paragraph" w:styleId="TOC4">
    <w:name w:val="toc 4"/>
    <w:basedOn w:val="Normal"/>
    <w:next w:val="Normal"/>
    <w:uiPriority w:val="39"/>
    <w:semiHidden/>
    <w:unhideWhenUsed/>
    <w:rsid w:val="0025481A"/>
    <w:pPr>
      <w:tabs>
        <w:tab w:val="right" w:leader="dot" w:pos="9072"/>
      </w:tabs>
      <w:ind w:left="595" w:right="510"/>
      <w:jc w:val="left"/>
    </w:pPr>
  </w:style>
  <w:style w:type="paragraph" w:styleId="TOC5">
    <w:name w:val="toc 5"/>
    <w:aliases w:val="Annotated Item"/>
    <w:basedOn w:val="Normal"/>
    <w:next w:val="Normal"/>
    <w:uiPriority w:val="39"/>
    <w:semiHidden/>
    <w:unhideWhenUsed/>
    <w:rsid w:val="0025481A"/>
    <w:pPr>
      <w:keepNext/>
      <w:spacing w:after="120"/>
    </w:pPr>
    <w:rPr>
      <w:b/>
      <w:color w:val="4E81BD"/>
    </w:rPr>
  </w:style>
  <w:style w:type="paragraph" w:styleId="TOCHeading">
    <w:name w:val="TOC Heading"/>
    <w:next w:val="Normal"/>
    <w:uiPriority w:val="39"/>
    <w:unhideWhenUsed/>
    <w:rsid w:val="00462721"/>
    <w:pPr>
      <w:keepNext/>
      <w:pageBreakBefore/>
      <w:spacing w:after="2000"/>
    </w:pPr>
    <w:rPr>
      <w:rFonts w:asciiTheme="majorHAnsi" w:hAnsiTheme="majorHAnsi" w:eastAsiaTheme="majorEastAsia" w:cstheme="majorBidi"/>
      <w:b/>
      <w:color w:val="4E81BD" w:themeColor="accent1"/>
      <w:sz w:val="72"/>
      <w:szCs w:val="32"/>
    </w:rPr>
  </w:style>
  <w:style w:type="paragraph" w:styleId="Subtitle">
    <w:name w:val="Subtitle"/>
    <w:next w:val="Para0"/>
    <w:link w:val="SubtitleChar"/>
    <w:uiPriority w:val="11"/>
    <w:rsid w:val="00160B10"/>
    <w:pPr>
      <w:keepNext/>
      <w:numPr>
        <w:ilvl w:val="1"/>
      </w:numPr>
      <w:spacing w:before="240" w:after="120" w:line="240" w:lineRule="exact"/>
    </w:pPr>
    <w:rPr>
      <w:rFonts w:asciiTheme="majorHAnsi" w:hAnsiTheme="majorHAnsi" w:eastAsiaTheme="minorEastAsia"/>
      <w:b/>
      <w:color w:val="4E81BD" w:themeColor="accent1"/>
      <w:sz w:val="24"/>
    </w:rPr>
  </w:style>
  <w:style w:type="character" w:styleId="SubtitleChar" w:customStyle="1">
    <w:name w:val="Subtitle Char"/>
    <w:basedOn w:val="DefaultParagraphFont"/>
    <w:link w:val="Subtitle"/>
    <w:uiPriority w:val="11"/>
    <w:rsid w:val="00160B10"/>
    <w:rPr>
      <w:rFonts w:asciiTheme="majorHAnsi" w:hAnsiTheme="majorHAnsi" w:eastAsiaTheme="minorEastAsia"/>
      <w:b/>
      <w:color w:val="4E81BD" w:themeColor="accent1"/>
      <w:sz w:val="24"/>
    </w:rPr>
  </w:style>
  <w:style w:type="character" w:styleId="PlaceholderText">
    <w:name w:val="Placeholder Text"/>
    <w:basedOn w:val="DefaultParagraphFont"/>
    <w:uiPriority w:val="99"/>
    <w:semiHidden/>
    <w:rsid w:val="00CC3749"/>
    <w:rPr>
      <w:color w:val="808080"/>
    </w:rPr>
  </w:style>
  <w:style w:type="paragraph" w:styleId="CoverDirectorate" w:customStyle="1">
    <w:name w:val="CoverDirectorate"/>
    <w:basedOn w:val="CoverNormal"/>
    <w:link w:val="CoverDirectorateChar"/>
    <w:rsid w:val="004529B7"/>
    <w:rPr>
      <w:b/>
    </w:rPr>
  </w:style>
  <w:style w:type="table" w:styleId="TableGrid">
    <w:name w:val="Table Grid"/>
    <w:basedOn w:val="TableNormal"/>
    <w:uiPriority w:val="59"/>
    <w:rsid w:val="00992AB5"/>
    <w:pPr>
      <w:spacing w:after="0" w:line="240" w:lineRule="auto"/>
    </w:pPr>
    <w:tblPr/>
  </w:style>
  <w:style w:type="character" w:styleId="CoverNormalChar" w:customStyle="1">
    <w:name w:val="CoverNormal Char"/>
    <w:basedOn w:val="DefaultParagraphFont"/>
    <w:link w:val="CoverNormal"/>
    <w:rsid w:val="00EF6B7C"/>
    <w:rPr>
      <w:rFonts w:asciiTheme="majorHAnsi" w:hAnsiTheme="majorHAnsi"/>
    </w:rPr>
  </w:style>
  <w:style w:type="character" w:styleId="CoverSubTitleChar" w:customStyle="1">
    <w:name w:val="CoverSubTitle Char"/>
    <w:basedOn w:val="DefaultParagraphFont"/>
    <w:link w:val="CoverSubTitle"/>
    <w:rsid w:val="00FB0CE9"/>
    <w:rPr>
      <w:rFonts w:ascii="Times New Roman" w:hAnsi="Times New Roman"/>
      <w:b/>
    </w:rPr>
  </w:style>
  <w:style w:type="character" w:styleId="CoverTitleChar" w:customStyle="1">
    <w:name w:val="CoverTitle Char"/>
    <w:basedOn w:val="DefaultParagraphFont"/>
    <w:link w:val="CoverTitle"/>
    <w:rsid w:val="00FB0CE9"/>
    <w:rPr>
      <w:rFonts w:ascii="Times New Roman" w:hAnsi="Times New Roman"/>
      <w:b/>
      <w:sz w:val="24"/>
    </w:rPr>
  </w:style>
  <w:style w:type="character" w:styleId="CoverCancelChar" w:customStyle="1">
    <w:name w:val="CoverCancel Char"/>
    <w:basedOn w:val="DefaultParagraphFont"/>
    <w:link w:val="CoverCancel"/>
    <w:rsid w:val="00FB0CE9"/>
    <w:rPr>
      <w:rFonts w:ascii="Times New Roman" w:hAnsi="Times New Roman"/>
      <w:b/>
    </w:rPr>
  </w:style>
  <w:style w:type="character" w:styleId="CoverDirectorateChar" w:customStyle="1">
    <w:name w:val="CoverDirectorate Char"/>
    <w:basedOn w:val="CoverNormalChar"/>
    <w:link w:val="CoverDirectorate"/>
    <w:rsid w:val="00FB0CE9"/>
    <w:rPr>
      <w:rFonts w:ascii="Times New Roman" w:hAnsi="Times New Roman"/>
      <w:b/>
    </w:rPr>
  </w:style>
  <w:style w:type="character" w:styleId="CoverDateChar" w:customStyle="1">
    <w:name w:val="CoverDate Char"/>
    <w:basedOn w:val="CoverNormalChar"/>
    <w:link w:val="CoverDate"/>
    <w:rsid w:val="00FB0CE9"/>
    <w:rPr>
      <w:rFonts w:ascii="Times New Roman" w:hAnsi="Times New Roman"/>
      <w:b/>
      <w:sz w:val="18"/>
    </w:rPr>
  </w:style>
  <w:style w:type="character" w:styleId="Hyperlink">
    <w:name w:val="Hyperlink"/>
    <w:basedOn w:val="DefaultParagraphFont"/>
    <w:uiPriority w:val="99"/>
    <w:unhideWhenUsed/>
    <w:rsid w:val="00461C3F"/>
    <w:rPr>
      <w:color w:val="0000FF" w:themeColor="hyperlink"/>
      <w:u w:val="single"/>
    </w:rPr>
  </w:style>
  <w:style w:type="table" w:styleId="OECDOld" w:customStyle="1">
    <w:name w:val="OECD Old"/>
    <w:basedOn w:val="LightShading-Accent1"/>
    <w:uiPriority w:val="99"/>
    <w:rsid w:val="00D95933"/>
    <w:rPr>
      <w:rFonts w:ascii="Georgia" w:hAnsi="Georgia" w:eastAsia="Times New Roman" w:cs="Times New Roman"/>
      <w:sz w:val="20"/>
      <w:szCs w:val="20"/>
      <w:lang w:val="en-US" w:eastAsia="en-GB"/>
    </w:rPr>
    <w:tblPr/>
    <w:tblStylePr w:type="firstRow">
      <w:pPr>
        <w:spacing w:before="0" w:after="0" w:line="240" w:lineRule="auto"/>
      </w:pPr>
      <w:rPr>
        <w:rFonts w:cs="Times New Roman"/>
        <w:b w:val="0"/>
        <w:bCs/>
      </w:rPr>
    </w:tblStylePr>
    <w:tblStylePr w:type="lastRow">
      <w:pPr>
        <w:spacing w:before="0" w:after="0" w:line="240" w:lineRule="auto"/>
      </w:pPr>
      <w:rPr>
        <w:rFonts w:cs="Times New Roman"/>
        <w:b w:val="0"/>
        <w:bCs/>
      </w:rPr>
    </w:tblStylePr>
    <w:tblStylePr w:type="firstCol">
      <w:rPr>
        <w:rFonts w:cs="Times New Roman"/>
        <w:b w:val="0"/>
        <w:bCs/>
      </w:rPr>
    </w:tblStylePr>
    <w:tblStylePr w:type="lastCol">
      <w:rPr>
        <w:rFonts w:cs="Times New Roman"/>
        <w:b w:val="0"/>
        <w:bCs/>
      </w:rPr>
    </w:tblStylePr>
    <w:tblStylePr w:type="band1Vert">
      <w:rPr>
        <w:rFonts w:cs="Times New Roman"/>
      </w:rPr>
    </w:tblStylePr>
    <w:tblStylePr w:type="band1Horz">
      <w:rPr>
        <w:rFonts w:cs="Times New Roman"/>
      </w:rPr>
    </w:tblStylePr>
    <w:tblStylePr w:type="band2Horz">
      <w:rPr>
        <w:rFonts w:cs="Times New Roman"/>
      </w:rPr>
    </w:tblStylePr>
  </w:style>
  <w:style w:type="table" w:styleId="LightShading-Accent1">
    <w:name w:val="Light Shading Accent 1"/>
    <w:basedOn w:val="TableNormal"/>
    <w:uiPriority w:val="60"/>
    <w:semiHidden/>
    <w:unhideWhenUsed/>
    <w:rsid w:val="005A6B81"/>
    <w:pPr>
      <w:spacing w:after="0" w:line="240" w:lineRule="auto"/>
    </w:pPr>
    <w:rPr>
      <w:color w:val="366091" w:themeColor="accent1" w:themeShade="BF"/>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paragraph" w:styleId="ParaOpener" w:customStyle="1">
    <w:name w:val="Para Opener"/>
    <w:next w:val="Para0"/>
    <w:uiPriority w:val="11"/>
    <w:qFormat/>
    <w:rsid w:val="00991A9A"/>
    <w:pPr>
      <w:spacing w:before="240" w:after="240" w:line="320" w:lineRule="exact"/>
      <w:jc w:val="both"/>
    </w:pPr>
    <w:rPr>
      <w:rFonts w:asciiTheme="majorHAnsi" w:hAnsiTheme="majorHAnsi"/>
      <w:color w:val="4E81BD" w:themeColor="accent1"/>
      <w:sz w:val="24"/>
    </w:rPr>
  </w:style>
  <w:style w:type="paragraph" w:styleId="InBriefOpener" w:customStyle="1">
    <w:name w:val="InBrief Opener"/>
    <w:rsid w:val="00635AEE"/>
    <w:pPr>
      <w:pageBreakBefore/>
      <w:spacing w:after="120" w:line="1040" w:lineRule="exact"/>
      <w:ind w:right="680"/>
    </w:pPr>
    <w:rPr>
      <w:rFonts w:asciiTheme="majorHAnsi" w:hAnsiTheme="majorHAnsi"/>
      <w:b/>
      <w:color w:val="4E81BD" w:themeColor="accent1"/>
      <w:sz w:val="96"/>
    </w:rPr>
  </w:style>
  <w:style w:type="paragraph" w:styleId="InBriefTitle" w:customStyle="1">
    <w:name w:val="InBrief Title"/>
    <w:next w:val="Para0"/>
    <w:uiPriority w:val="16"/>
    <w:rsid w:val="00722339"/>
    <w:pPr>
      <w:spacing w:after="360" w:line="320" w:lineRule="exact"/>
      <w:ind w:right="57"/>
    </w:pPr>
    <w:rPr>
      <w:rFonts w:asciiTheme="majorHAnsi" w:hAnsiTheme="majorHAnsi"/>
      <w:b/>
      <w:color w:val="4E81BD" w:themeColor="accent1"/>
      <w:sz w:val="28"/>
    </w:rPr>
  </w:style>
  <w:style w:type="paragraph" w:styleId="Author" w:customStyle="1">
    <w:name w:val="Author"/>
    <w:next w:val="Para0"/>
    <w:uiPriority w:val="6"/>
    <w:qFormat/>
    <w:rsid w:val="00821370"/>
    <w:pPr>
      <w:spacing w:before="180" w:after="240" w:line="260" w:lineRule="exact"/>
      <w:ind w:right="284"/>
      <w:jc w:val="right"/>
    </w:pPr>
    <w:rPr>
      <w:rFonts w:asciiTheme="majorHAnsi" w:hAnsiTheme="majorHAnsi"/>
    </w:rPr>
  </w:style>
  <w:style w:type="paragraph" w:styleId="Heading2Indicator" w:customStyle="1">
    <w:name w:val="Heading 2 (Indicator)"/>
    <w:next w:val="Para0"/>
    <w:uiPriority w:val="8"/>
    <w:qFormat/>
    <w:rsid w:val="00966A58"/>
    <w:pPr>
      <w:pageBreakBefore/>
      <w:spacing w:after="480" w:line="560" w:lineRule="exact"/>
      <w:outlineLvl w:val="1"/>
    </w:pPr>
    <w:rPr>
      <w:rFonts w:asciiTheme="majorHAnsi" w:hAnsiTheme="majorHAnsi" w:eastAsiaTheme="majorEastAsia" w:cstheme="majorBidi"/>
      <w:b/>
      <w:color w:val="4E81BD" w:themeColor="accent1"/>
      <w:sz w:val="52"/>
      <w:szCs w:val="26"/>
    </w:rPr>
  </w:style>
  <w:style w:type="paragraph" w:styleId="BoxHeading2" w:customStyle="1">
    <w:name w:val="Box Heading 2"/>
    <w:next w:val="Para0"/>
    <w:uiPriority w:val="14"/>
    <w:qFormat/>
    <w:rsid w:val="000E5F57"/>
    <w:pPr>
      <w:spacing w:before="180" w:after="120" w:line="240" w:lineRule="auto"/>
    </w:pPr>
    <w:rPr>
      <w:rFonts w:asciiTheme="majorHAnsi" w:hAnsiTheme="majorHAnsi"/>
      <w:b/>
      <w:i/>
      <w:color w:val="000000" w:themeColor="text1"/>
    </w:rPr>
  </w:style>
  <w:style w:type="table" w:styleId="OECD" w:customStyle="1">
    <w:name w:val="OECD"/>
    <w:basedOn w:val="TableSimple1"/>
    <w:uiPriority w:val="99"/>
    <w:rsid w:val="00625626"/>
    <w:pPr>
      <w:spacing w:before="10" w:after="20" w:line="200" w:lineRule="exact"/>
    </w:pPr>
    <w:rPr>
      <w:rFonts w:ascii="Arial Narrow" w:hAnsi="Arial Narrow"/>
      <w:sz w:val="17"/>
      <w:szCs w:val="20"/>
      <w:lang w:val="en-US" w:eastAsia="en-GB"/>
    </w:rPr>
    <w:tblPr/>
  </w:style>
  <w:style w:type="table" w:styleId="TableSimple1">
    <w:name w:val="Table Simple 1"/>
    <w:basedOn w:val="TableNormal"/>
    <w:uiPriority w:val="99"/>
    <w:semiHidden/>
    <w:unhideWhenUsed/>
    <w:rsid w:val="009E05F9"/>
    <w:pPr>
      <w:spacing w:line="240" w:lineRule="auto"/>
      <w:jc w:val="both"/>
    </w:pPr>
    <w:tblPr/>
  </w:style>
  <w:style w:type="paragraph" w:styleId="TOC9">
    <w:name w:val="toc 9"/>
    <w:next w:val="Normal"/>
    <w:autoRedefine/>
    <w:uiPriority w:val="39"/>
    <w:rsid w:val="001C4E4F"/>
    <w:pPr>
      <w:tabs>
        <w:tab w:val="right" w:pos="9072"/>
      </w:tabs>
      <w:spacing w:before="240" w:after="40" w:line="300" w:lineRule="exact"/>
      <w:ind w:left="284" w:right="652" w:hanging="284"/>
    </w:pPr>
    <w:rPr>
      <w:rFonts w:asciiTheme="majorHAnsi" w:hAnsiTheme="majorHAnsi"/>
      <w:b/>
      <w:color w:val="4E81BD" w:themeColor="accent1"/>
      <w:sz w:val="28"/>
    </w:rPr>
  </w:style>
  <w:style w:type="paragraph" w:styleId="KeyBoxTitle" w:customStyle="1">
    <w:name w:val="KeyBox Title"/>
    <w:basedOn w:val="Caption"/>
    <w:next w:val="Para0"/>
    <w:rsid w:val="00C71392"/>
    <w:pPr>
      <w:spacing w:before="0" w:after="360" w:line="440" w:lineRule="exact"/>
      <w:ind w:right="57"/>
    </w:pPr>
    <w:rPr>
      <w:rFonts w:eastAsiaTheme="majorEastAsia" w:cstheme="majorBidi"/>
      <w:iCs w:val="0"/>
      <w:sz w:val="36"/>
      <w:szCs w:val="26"/>
    </w:rPr>
  </w:style>
  <w:style w:type="paragraph" w:styleId="Heading2IndicatorSublevel" w:customStyle="1">
    <w:name w:val="Heading 2 (Indicator Sublevel)"/>
    <w:basedOn w:val="Heading2"/>
    <w:next w:val="Para0"/>
    <w:uiPriority w:val="9"/>
    <w:qFormat/>
    <w:rsid w:val="00F47BCF"/>
    <w:pPr>
      <w:outlineLvl w:val="2"/>
    </w:pPr>
  </w:style>
  <w:style w:type="character" w:styleId="CommentReference">
    <w:name w:val="Comment Reference"/>
    <w:basedOn w:val="DefaultParagraphFont"/>
    <w:uiPriority w:val="99"/>
    <w:semiHidden/>
    <w:unhideWhenUsed/>
    <w:rsid w:val="00EF1BB4"/>
    <w:rPr>
      <w:sz w:val="16"/>
      <w:szCs w:val="16"/>
    </w:rPr>
  </w:style>
  <w:style w:type="paragraph" w:styleId="CommentText">
    <w:name w:val="Comment Text"/>
    <w:basedOn w:val="Normal"/>
    <w:link w:val="CommentTextChar"/>
    <w:uiPriority w:val="99"/>
    <w:unhideWhenUsed/>
    <w:rsid w:val="00EF1BB4"/>
    <w:pPr>
      <w:widowControl/>
      <w:spacing w:after="160"/>
      <w:jc w:val="left"/>
    </w:pPr>
    <w:rPr>
      <w:sz w:val="20"/>
      <w:szCs w:val="20"/>
    </w:rPr>
  </w:style>
  <w:style w:type="character" w:styleId="CommentTextChar" w:customStyle="1">
    <w:name w:val="Comment Text Char"/>
    <w:basedOn w:val="DefaultParagraphFont"/>
    <w:link w:val="CommentText"/>
    <w:uiPriority w:val="99"/>
    <w:rsid w:val="00EF1BB4"/>
    <w:rPr>
      <w:sz w:val="20"/>
      <w:szCs w:val="20"/>
    </w:rPr>
  </w:style>
  <w:style w:type="character" w:styleId="Mention">
    <w:name w:val="Mention"/>
    <w:basedOn w:val="DefaultParagraphFont"/>
    <w:uiPriority w:val="99"/>
    <w:unhideWhenUsed/>
    <w:rsid w:val="00EF1BB4"/>
    <w:rPr>
      <w:color w:val="2B579A"/>
      <w:shd w:val="clear" w:color="auto" w:fill="E1DFDD"/>
    </w:rPr>
  </w:style>
  <w:style w:type="paragraph" w:styleId="NormalWeb">
    <w:name w:val="Normal (Web)"/>
    <w:basedOn w:val="Normal"/>
    <w:uiPriority w:val="99"/>
    <w:semiHidden/>
    <w:unhideWhenUsed/>
    <w:rsid w:val="00742012"/>
    <w:pPr>
      <w:widowControl/>
      <w:spacing w:before="100" w:beforeAutospacing="1" w:after="100" w:afterAutospacing="1"/>
      <w:jc w:val="left"/>
    </w:pPr>
    <w:rPr>
      <w:rFonts w:ascii="Times New Roman" w:hAnsi="Times New Roman" w:eastAsia="Times New Roman" w:cs="Times New Roman"/>
      <w:sz w:val="24"/>
      <w:szCs w:val="24"/>
      <w:lang w:val="en-US"/>
    </w:rPr>
  </w:style>
  <w:style w:type="paragraph" w:styleId="CommentSubject">
    <w:name w:val="Comment Subject"/>
    <w:basedOn w:val="CommentText"/>
    <w:next w:val="CommentText"/>
    <w:link w:val="CommentSubjectChar"/>
    <w:uiPriority w:val="99"/>
    <w:semiHidden/>
    <w:unhideWhenUsed/>
    <w:rsid w:val="0007730B"/>
    <w:pPr>
      <w:widowControl w:val="0"/>
      <w:spacing w:after="0"/>
      <w:jc w:val="both"/>
    </w:pPr>
    <w:rPr>
      <w:b/>
      <w:bCs/>
    </w:rPr>
  </w:style>
  <w:style w:type="character" w:styleId="CommentSubjectChar" w:customStyle="1">
    <w:name w:val="Comment Subject Char"/>
    <w:basedOn w:val="CommentTextChar"/>
    <w:link w:val="CommentSubject"/>
    <w:uiPriority w:val="99"/>
    <w:semiHidden/>
    <w:rsid w:val="0007730B"/>
    <w:rPr>
      <w:b/>
      <w:bCs/>
      <w:sz w:val="20"/>
      <w:szCs w:val="20"/>
    </w:rPr>
  </w:style>
  <w:style w:type="paragraph" w:styleId="Revision">
    <w:name w:val="Revision"/>
    <w:hidden/>
    <w:uiPriority w:val="99"/>
    <w:semiHidden/>
    <w:rsid w:val="00963079"/>
    <w:pPr>
      <w:spacing w:after="0" w:line="240" w:lineRule="auto"/>
    </w:pPr>
  </w:style>
  <w:style w:type="character" w:styleId="UnresolvedMention">
    <w:name w:val="Unresolved Mention"/>
    <w:basedOn w:val="DefaultParagraphFont"/>
    <w:uiPriority w:val="99"/>
    <w:semiHidden/>
    <w:unhideWhenUsed/>
    <w:rsid w:val="00572AFC"/>
    <w:rPr>
      <w:color w:val="605E5C"/>
      <w:shd w:val="clear" w:color="auto" w:fill="E1DFDD"/>
    </w:rPr>
  </w:style>
  <w:style w:type="character" w:styleId="FollowedHyperlink">
    <w:name w:val="FollowedHyperlink"/>
    <w:basedOn w:val="DefaultParagraphFont"/>
    <w:uiPriority w:val="99"/>
    <w:semiHidden/>
    <w:unhideWhenUsed/>
    <w:rsid w:val="00F533A1"/>
    <w:rPr>
      <w:color w:val="800080" w:themeColor="followedHyperlink"/>
      <w:u w:val="single"/>
    </w:rPr>
  </w:style>
  <w:style w:type="table" w:styleId="GridTable4-Accent5">
    <w:name w:val="Grid Table 4 Accent 5"/>
    <w:basedOn w:val="TableNormal"/>
    <w:uiPriority w:val="49"/>
    <w:rsid w:val="00CA52E7"/>
    <w:pPr>
      <w:spacing w:after="0" w:line="240" w:lineRule="auto"/>
    </w:pPr>
    <w:tblPr>
      <w:tblStyleRowBandSize w:val="1"/>
      <w:tblStyleColBandSize w:val="1"/>
      <w:tblBorders>
        <w:top w:val="single" w:color="94B3D7" w:themeColor="accent5" w:themeTint="99" w:sz="4" w:space="0"/>
        <w:left w:val="single" w:color="94B3D7" w:themeColor="accent5" w:themeTint="99" w:sz="4" w:space="0"/>
        <w:bottom w:val="single" w:color="94B3D7" w:themeColor="accent5" w:themeTint="99" w:sz="4" w:space="0"/>
        <w:right w:val="single" w:color="94B3D7" w:themeColor="accent5" w:themeTint="99" w:sz="4" w:space="0"/>
        <w:insideH w:val="single" w:color="94B3D7" w:themeColor="accent5" w:themeTint="99" w:sz="4" w:space="0"/>
        <w:insideV w:val="single" w:color="94B3D7" w:themeColor="accent5" w:themeTint="99" w:sz="4" w:space="0"/>
      </w:tblBorders>
    </w:tblPr>
    <w:tblStylePr w:type="firstRow">
      <w:rPr>
        <w:b/>
        <w:bCs/>
        <w:color w:val="FFFFFF" w:themeColor="background1"/>
      </w:rPr>
      <w:tblPr/>
      <w:tcPr>
        <w:tcBorders>
          <w:top w:val="single" w:color="4E81BD" w:themeColor="accent5" w:sz="4" w:space="0"/>
          <w:left w:val="single" w:color="4E81BD" w:themeColor="accent5" w:sz="4" w:space="0"/>
          <w:bottom w:val="single" w:color="4E81BD" w:themeColor="accent5" w:sz="4" w:space="0"/>
          <w:right w:val="single" w:color="4E81BD" w:themeColor="accent5" w:sz="4" w:space="0"/>
          <w:insideH w:val="nil"/>
          <w:insideV w:val="nil"/>
        </w:tcBorders>
        <w:shd w:val="clear" w:color="auto" w:fill="4E81BD" w:themeFill="accent5"/>
      </w:tcPr>
    </w:tblStylePr>
    <w:tblStylePr w:type="lastRow">
      <w:rPr>
        <w:b/>
        <w:bCs/>
      </w:rPr>
      <w:tblPr/>
      <w:tcPr>
        <w:tcBorders>
          <w:top w:val="double" w:color="4E81BD" w:themeColor="accent5" w:sz="4" w:space="0"/>
        </w:tcBorders>
      </w:tcPr>
    </w:tblStylePr>
    <w:tblStylePr w:type="firstCol">
      <w:rPr>
        <w:b/>
        <w:bCs/>
      </w:rPr>
    </w:tblStylePr>
    <w:tblStylePr w:type="lastCol">
      <w:rPr>
        <w:b/>
        <w:bCs/>
      </w:rPr>
    </w:tblStylePr>
    <w:tblStylePr w:type="band1Vert">
      <w:tblPr/>
      <w:tcPr>
        <w:shd w:val="clear" w:color="auto" w:fill="DBE5F1" w:themeFill="accent5" w:themeFillTint="33"/>
      </w:tcPr>
    </w:tblStylePr>
    <w:tblStylePr w:type="band1Horz">
      <w:tblPr/>
      <w:tcPr>
        <w:shd w:val="clear" w:color="auto" w:fill="DBE5F1" w:themeFill="accent5" w:themeFillTint="33"/>
      </w:tcPr>
    </w:tblStylePr>
  </w:style>
  <w:style w:type="table" w:styleId="ListTable3-Accent1">
    <w:name w:val="List Table 3 Accent 1"/>
    <w:basedOn w:val="TableNormal"/>
    <w:uiPriority w:val="48"/>
    <w:rsid w:val="006863DC"/>
    <w:pPr>
      <w:spacing w:after="0" w:line="240" w:lineRule="auto"/>
    </w:pPr>
    <w:tblPr>
      <w:tblStyleRowBandSize w:val="1"/>
      <w:tblStyleColBandSize w:val="1"/>
      <w:tblBorders>
        <w:top w:val="single" w:color="4E81BD" w:themeColor="accent1" w:sz="4" w:space="0"/>
        <w:left w:val="single" w:color="4E81BD" w:themeColor="accent1" w:sz="4" w:space="0"/>
        <w:bottom w:val="single" w:color="4E81BD" w:themeColor="accent1" w:sz="4" w:space="0"/>
        <w:right w:val="single" w:color="4E81BD" w:themeColor="accent1" w:sz="4" w:space="0"/>
      </w:tblBorders>
    </w:tblPr>
    <w:tblStylePr w:type="firstRow">
      <w:rPr>
        <w:b/>
        <w:bCs/>
        <w:color w:val="FFFFFF" w:themeColor="background1"/>
      </w:rPr>
      <w:tblPr/>
      <w:tcPr>
        <w:shd w:val="clear" w:color="auto" w:fill="4E81BD" w:themeFill="accent1"/>
      </w:tcPr>
    </w:tblStylePr>
    <w:tblStylePr w:type="lastRow">
      <w:rPr>
        <w:b/>
        <w:bCs/>
      </w:rPr>
      <w:tblPr/>
      <w:tcPr>
        <w:tcBorders>
          <w:top w:val="double" w:color="4E81BD"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E81BD" w:themeColor="accent1" w:sz="4" w:space="0"/>
          <w:right w:val="single" w:color="4E81BD" w:themeColor="accent1" w:sz="4" w:space="0"/>
        </w:tcBorders>
      </w:tcPr>
    </w:tblStylePr>
    <w:tblStylePr w:type="band1Horz">
      <w:tblPr/>
      <w:tcPr>
        <w:tcBorders>
          <w:top w:val="single" w:color="4E81BD" w:themeColor="accent1" w:sz="4" w:space="0"/>
          <w:bottom w:val="single" w:color="4E81BD"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E81BD" w:themeColor="accent1" w:sz="4" w:space="0"/>
          <w:left w:val="nil"/>
        </w:tcBorders>
      </w:tcPr>
    </w:tblStylePr>
    <w:tblStylePr w:type="swCell">
      <w:tblPr/>
      <w:tcPr>
        <w:tcBorders>
          <w:top w:val="double" w:color="4E81BD" w:themeColor="accent1" w:sz="4" w:space="0"/>
          <w:right w:val="nil"/>
        </w:tcBorders>
      </w:tcPr>
    </w:tblStylePr>
  </w:style>
  <w:style w:type="table" w:styleId="GridTable4-Accent1">
    <w:name w:val="Grid Table 4 Accent 1"/>
    <w:basedOn w:val="TableNormal"/>
    <w:uiPriority w:val="49"/>
    <w:rsid w:val="00760E32"/>
    <w:pPr>
      <w:spacing w:after="0" w:line="240" w:lineRule="auto"/>
    </w:pPr>
    <w:tblPr>
      <w:tblStyleRowBandSize w:val="1"/>
      <w:tblStyleColBandSize w:val="1"/>
      <w:tblBorders>
        <w:top w:val="single" w:color="94B3D7" w:themeColor="accent1" w:themeTint="99" w:sz="4" w:space="0"/>
        <w:left w:val="single" w:color="94B3D7" w:themeColor="accent1" w:themeTint="99" w:sz="4" w:space="0"/>
        <w:bottom w:val="single" w:color="94B3D7" w:themeColor="accent1" w:themeTint="99" w:sz="4" w:space="0"/>
        <w:right w:val="single" w:color="94B3D7" w:themeColor="accent1" w:themeTint="99" w:sz="4" w:space="0"/>
        <w:insideH w:val="single" w:color="94B3D7" w:themeColor="accent1" w:themeTint="99" w:sz="4" w:space="0"/>
        <w:insideV w:val="single" w:color="94B3D7" w:themeColor="accent1" w:themeTint="99" w:sz="4" w:space="0"/>
      </w:tblBorders>
    </w:tblPr>
    <w:tblStylePr w:type="firstRow">
      <w:rPr>
        <w:b/>
        <w:bCs/>
        <w:color w:val="FFFFFF" w:themeColor="background1"/>
      </w:rPr>
      <w:tblPr/>
      <w:tcPr>
        <w:tcBorders>
          <w:top w:val="single" w:color="4E81BD" w:themeColor="accent1" w:sz="4" w:space="0"/>
          <w:left w:val="single" w:color="4E81BD" w:themeColor="accent1" w:sz="4" w:space="0"/>
          <w:bottom w:val="single" w:color="4E81BD" w:themeColor="accent1" w:sz="4" w:space="0"/>
          <w:right w:val="single" w:color="4E81BD" w:themeColor="accent1" w:sz="4" w:space="0"/>
          <w:insideH w:val="nil"/>
          <w:insideV w:val="nil"/>
        </w:tcBorders>
        <w:shd w:val="clear" w:color="auto" w:fill="4E81BD" w:themeFill="accent1"/>
      </w:tcPr>
    </w:tblStylePr>
    <w:tblStylePr w:type="lastRow">
      <w:rPr>
        <w:b/>
        <w:bCs/>
      </w:rPr>
      <w:tblPr/>
      <w:tcPr>
        <w:tcBorders>
          <w:top w:val="double" w:color="4E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888">
      <w:bodyDiv w:val="1"/>
      <w:marLeft w:val="0"/>
      <w:marRight w:val="0"/>
      <w:marTop w:val="0"/>
      <w:marBottom w:val="0"/>
      <w:divBdr>
        <w:top w:val="none" w:sz="0" w:space="0" w:color="auto"/>
        <w:left w:val="none" w:sz="0" w:space="0" w:color="auto"/>
        <w:bottom w:val="none" w:sz="0" w:space="0" w:color="auto"/>
        <w:right w:val="none" w:sz="0" w:space="0" w:color="auto"/>
      </w:divBdr>
    </w:div>
    <w:div w:id="4945338">
      <w:bodyDiv w:val="1"/>
      <w:marLeft w:val="0"/>
      <w:marRight w:val="0"/>
      <w:marTop w:val="0"/>
      <w:marBottom w:val="0"/>
      <w:divBdr>
        <w:top w:val="none" w:sz="0" w:space="0" w:color="auto"/>
        <w:left w:val="none" w:sz="0" w:space="0" w:color="auto"/>
        <w:bottom w:val="none" w:sz="0" w:space="0" w:color="auto"/>
        <w:right w:val="none" w:sz="0" w:space="0" w:color="auto"/>
      </w:divBdr>
    </w:div>
    <w:div w:id="6908379">
      <w:bodyDiv w:val="1"/>
      <w:marLeft w:val="0"/>
      <w:marRight w:val="0"/>
      <w:marTop w:val="0"/>
      <w:marBottom w:val="0"/>
      <w:divBdr>
        <w:top w:val="none" w:sz="0" w:space="0" w:color="auto"/>
        <w:left w:val="none" w:sz="0" w:space="0" w:color="auto"/>
        <w:bottom w:val="none" w:sz="0" w:space="0" w:color="auto"/>
        <w:right w:val="none" w:sz="0" w:space="0" w:color="auto"/>
      </w:divBdr>
    </w:div>
    <w:div w:id="7829225">
      <w:bodyDiv w:val="1"/>
      <w:marLeft w:val="0"/>
      <w:marRight w:val="0"/>
      <w:marTop w:val="0"/>
      <w:marBottom w:val="0"/>
      <w:divBdr>
        <w:top w:val="none" w:sz="0" w:space="0" w:color="auto"/>
        <w:left w:val="none" w:sz="0" w:space="0" w:color="auto"/>
        <w:bottom w:val="none" w:sz="0" w:space="0" w:color="auto"/>
        <w:right w:val="none" w:sz="0" w:space="0" w:color="auto"/>
      </w:divBdr>
    </w:div>
    <w:div w:id="14501998">
      <w:bodyDiv w:val="1"/>
      <w:marLeft w:val="0"/>
      <w:marRight w:val="0"/>
      <w:marTop w:val="0"/>
      <w:marBottom w:val="0"/>
      <w:divBdr>
        <w:top w:val="none" w:sz="0" w:space="0" w:color="auto"/>
        <w:left w:val="none" w:sz="0" w:space="0" w:color="auto"/>
        <w:bottom w:val="none" w:sz="0" w:space="0" w:color="auto"/>
        <w:right w:val="none" w:sz="0" w:space="0" w:color="auto"/>
      </w:divBdr>
    </w:div>
    <w:div w:id="16084874">
      <w:bodyDiv w:val="1"/>
      <w:marLeft w:val="0"/>
      <w:marRight w:val="0"/>
      <w:marTop w:val="0"/>
      <w:marBottom w:val="0"/>
      <w:divBdr>
        <w:top w:val="none" w:sz="0" w:space="0" w:color="auto"/>
        <w:left w:val="none" w:sz="0" w:space="0" w:color="auto"/>
        <w:bottom w:val="none" w:sz="0" w:space="0" w:color="auto"/>
        <w:right w:val="none" w:sz="0" w:space="0" w:color="auto"/>
      </w:divBdr>
    </w:div>
    <w:div w:id="16660637">
      <w:bodyDiv w:val="1"/>
      <w:marLeft w:val="0"/>
      <w:marRight w:val="0"/>
      <w:marTop w:val="0"/>
      <w:marBottom w:val="0"/>
      <w:divBdr>
        <w:top w:val="none" w:sz="0" w:space="0" w:color="auto"/>
        <w:left w:val="none" w:sz="0" w:space="0" w:color="auto"/>
        <w:bottom w:val="none" w:sz="0" w:space="0" w:color="auto"/>
        <w:right w:val="none" w:sz="0" w:space="0" w:color="auto"/>
      </w:divBdr>
    </w:div>
    <w:div w:id="16781337">
      <w:bodyDiv w:val="1"/>
      <w:marLeft w:val="0"/>
      <w:marRight w:val="0"/>
      <w:marTop w:val="0"/>
      <w:marBottom w:val="0"/>
      <w:divBdr>
        <w:top w:val="none" w:sz="0" w:space="0" w:color="auto"/>
        <w:left w:val="none" w:sz="0" w:space="0" w:color="auto"/>
        <w:bottom w:val="none" w:sz="0" w:space="0" w:color="auto"/>
        <w:right w:val="none" w:sz="0" w:space="0" w:color="auto"/>
      </w:divBdr>
    </w:div>
    <w:div w:id="17045381">
      <w:bodyDiv w:val="1"/>
      <w:marLeft w:val="0"/>
      <w:marRight w:val="0"/>
      <w:marTop w:val="0"/>
      <w:marBottom w:val="0"/>
      <w:divBdr>
        <w:top w:val="none" w:sz="0" w:space="0" w:color="auto"/>
        <w:left w:val="none" w:sz="0" w:space="0" w:color="auto"/>
        <w:bottom w:val="none" w:sz="0" w:space="0" w:color="auto"/>
        <w:right w:val="none" w:sz="0" w:space="0" w:color="auto"/>
      </w:divBdr>
    </w:div>
    <w:div w:id="23990710">
      <w:bodyDiv w:val="1"/>
      <w:marLeft w:val="0"/>
      <w:marRight w:val="0"/>
      <w:marTop w:val="0"/>
      <w:marBottom w:val="0"/>
      <w:divBdr>
        <w:top w:val="none" w:sz="0" w:space="0" w:color="auto"/>
        <w:left w:val="none" w:sz="0" w:space="0" w:color="auto"/>
        <w:bottom w:val="none" w:sz="0" w:space="0" w:color="auto"/>
        <w:right w:val="none" w:sz="0" w:space="0" w:color="auto"/>
      </w:divBdr>
    </w:div>
    <w:div w:id="26420619">
      <w:bodyDiv w:val="1"/>
      <w:marLeft w:val="0"/>
      <w:marRight w:val="0"/>
      <w:marTop w:val="0"/>
      <w:marBottom w:val="0"/>
      <w:divBdr>
        <w:top w:val="none" w:sz="0" w:space="0" w:color="auto"/>
        <w:left w:val="none" w:sz="0" w:space="0" w:color="auto"/>
        <w:bottom w:val="none" w:sz="0" w:space="0" w:color="auto"/>
        <w:right w:val="none" w:sz="0" w:space="0" w:color="auto"/>
      </w:divBdr>
    </w:div>
    <w:div w:id="29654325">
      <w:bodyDiv w:val="1"/>
      <w:marLeft w:val="0"/>
      <w:marRight w:val="0"/>
      <w:marTop w:val="0"/>
      <w:marBottom w:val="0"/>
      <w:divBdr>
        <w:top w:val="none" w:sz="0" w:space="0" w:color="auto"/>
        <w:left w:val="none" w:sz="0" w:space="0" w:color="auto"/>
        <w:bottom w:val="none" w:sz="0" w:space="0" w:color="auto"/>
        <w:right w:val="none" w:sz="0" w:space="0" w:color="auto"/>
      </w:divBdr>
    </w:div>
    <w:div w:id="38240129">
      <w:bodyDiv w:val="1"/>
      <w:marLeft w:val="0"/>
      <w:marRight w:val="0"/>
      <w:marTop w:val="0"/>
      <w:marBottom w:val="0"/>
      <w:divBdr>
        <w:top w:val="none" w:sz="0" w:space="0" w:color="auto"/>
        <w:left w:val="none" w:sz="0" w:space="0" w:color="auto"/>
        <w:bottom w:val="none" w:sz="0" w:space="0" w:color="auto"/>
        <w:right w:val="none" w:sz="0" w:space="0" w:color="auto"/>
      </w:divBdr>
    </w:div>
    <w:div w:id="38600986">
      <w:bodyDiv w:val="1"/>
      <w:marLeft w:val="0"/>
      <w:marRight w:val="0"/>
      <w:marTop w:val="0"/>
      <w:marBottom w:val="0"/>
      <w:divBdr>
        <w:top w:val="none" w:sz="0" w:space="0" w:color="auto"/>
        <w:left w:val="none" w:sz="0" w:space="0" w:color="auto"/>
        <w:bottom w:val="none" w:sz="0" w:space="0" w:color="auto"/>
        <w:right w:val="none" w:sz="0" w:space="0" w:color="auto"/>
      </w:divBdr>
    </w:div>
    <w:div w:id="38821334">
      <w:bodyDiv w:val="1"/>
      <w:marLeft w:val="0"/>
      <w:marRight w:val="0"/>
      <w:marTop w:val="0"/>
      <w:marBottom w:val="0"/>
      <w:divBdr>
        <w:top w:val="none" w:sz="0" w:space="0" w:color="auto"/>
        <w:left w:val="none" w:sz="0" w:space="0" w:color="auto"/>
        <w:bottom w:val="none" w:sz="0" w:space="0" w:color="auto"/>
        <w:right w:val="none" w:sz="0" w:space="0" w:color="auto"/>
      </w:divBdr>
    </w:div>
    <w:div w:id="39520577">
      <w:bodyDiv w:val="1"/>
      <w:marLeft w:val="0"/>
      <w:marRight w:val="0"/>
      <w:marTop w:val="0"/>
      <w:marBottom w:val="0"/>
      <w:divBdr>
        <w:top w:val="none" w:sz="0" w:space="0" w:color="auto"/>
        <w:left w:val="none" w:sz="0" w:space="0" w:color="auto"/>
        <w:bottom w:val="none" w:sz="0" w:space="0" w:color="auto"/>
        <w:right w:val="none" w:sz="0" w:space="0" w:color="auto"/>
      </w:divBdr>
    </w:div>
    <w:div w:id="44377633">
      <w:bodyDiv w:val="1"/>
      <w:marLeft w:val="0"/>
      <w:marRight w:val="0"/>
      <w:marTop w:val="0"/>
      <w:marBottom w:val="0"/>
      <w:divBdr>
        <w:top w:val="none" w:sz="0" w:space="0" w:color="auto"/>
        <w:left w:val="none" w:sz="0" w:space="0" w:color="auto"/>
        <w:bottom w:val="none" w:sz="0" w:space="0" w:color="auto"/>
        <w:right w:val="none" w:sz="0" w:space="0" w:color="auto"/>
      </w:divBdr>
    </w:div>
    <w:div w:id="44645730">
      <w:bodyDiv w:val="1"/>
      <w:marLeft w:val="0"/>
      <w:marRight w:val="0"/>
      <w:marTop w:val="0"/>
      <w:marBottom w:val="0"/>
      <w:divBdr>
        <w:top w:val="none" w:sz="0" w:space="0" w:color="auto"/>
        <w:left w:val="none" w:sz="0" w:space="0" w:color="auto"/>
        <w:bottom w:val="none" w:sz="0" w:space="0" w:color="auto"/>
        <w:right w:val="none" w:sz="0" w:space="0" w:color="auto"/>
      </w:divBdr>
    </w:div>
    <w:div w:id="56829576">
      <w:bodyDiv w:val="1"/>
      <w:marLeft w:val="0"/>
      <w:marRight w:val="0"/>
      <w:marTop w:val="0"/>
      <w:marBottom w:val="0"/>
      <w:divBdr>
        <w:top w:val="none" w:sz="0" w:space="0" w:color="auto"/>
        <w:left w:val="none" w:sz="0" w:space="0" w:color="auto"/>
        <w:bottom w:val="none" w:sz="0" w:space="0" w:color="auto"/>
        <w:right w:val="none" w:sz="0" w:space="0" w:color="auto"/>
      </w:divBdr>
    </w:div>
    <w:div w:id="57172684">
      <w:bodyDiv w:val="1"/>
      <w:marLeft w:val="0"/>
      <w:marRight w:val="0"/>
      <w:marTop w:val="0"/>
      <w:marBottom w:val="0"/>
      <w:divBdr>
        <w:top w:val="none" w:sz="0" w:space="0" w:color="auto"/>
        <w:left w:val="none" w:sz="0" w:space="0" w:color="auto"/>
        <w:bottom w:val="none" w:sz="0" w:space="0" w:color="auto"/>
        <w:right w:val="none" w:sz="0" w:space="0" w:color="auto"/>
      </w:divBdr>
    </w:div>
    <w:div w:id="58214943">
      <w:bodyDiv w:val="1"/>
      <w:marLeft w:val="0"/>
      <w:marRight w:val="0"/>
      <w:marTop w:val="0"/>
      <w:marBottom w:val="0"/>
      <w:divBdr>
        <w:top w:val="none" w:sz="0" w:space="0" w:color="auto"/>
        <w:left w:val="none" w:sz="0" w:space="0" w:color="auto"/>
        <w:bottom w:val="none" w:sz="0" w:space="0" w:color="auto"/>
        <w:right w:val="none" w:sz="0" w:space="0" w:color="auto"/>
      </w:divBdr>
    </w:div>
    <w:div w:id="63532213">
      <w:bodyDiv w:val="1"/>
      <w:marLeft w:val="0"/>
      <w:marRight w:val="0"/>
      <w:marTop w:val="0"/>
      <w:marBottom w:val="0"/>
      <w:divBdr>
        <w:top w:val="none" w:sz="0" w:space="0" w:color="auto"/>
        <w:left w:val="none" w:sz="0" w:space="0" w:color="auto"/>
        <w:bottom w:val="none" w:sz="0" w:space="0" w:color="auto"/>
        <w:right w:val="none" w:sz="0" w:space="0" w:color="auto"/>
      </w:divBdr>
    </w:div>
    <w:div w:id="64888336">
      <w:bodyDiv w:val="1"/>
      <w:marLeft w:val="0"/>
      <w:marRight w:val="0"/>
      <w:marTop w:val="0"/>
      <w:marBottom w:val="0"/>
      <w:divBdr>
        <w:top w:val="none" w:sz="0" w:space="0" w:color="auto"/>
        <w:left w:val="none" w:sz="0" w:space="0" w:color="auto"/>
        <w:bottom w:val="none" w:sz="0" w:space="0" w:color="auto"/>
        <w:right w:val="none" w:sz="0" w:space="0" w:color="auto"/>
      </w:divBdr>
    </w:div>
    <w:div w:id="66730421">
      <w:bodyDiv w:val="1"/>
      <w:marLeft w:val="0"/>
      <w:marRight w:val="0"/>
      <w:marTop w:val="0"/>
      <w:marBottom w:val="0"/>
      <w:divBdr>
        <w:top w:val="none" w:sz="0" w:space="0" w:color="auto"/>
        <w:left w:val="none" w:sz="0" w:space="0" w:color="auto"/>
        <w:bottom w:val="none" w:sz="0" w:space="0" w:color="auto"/>
        <w:right w:val="none" w:sz="0" w:space="0" w:color="auto"/>
      </w:divBdr>
    </w:div>
    <w:div w:id="70736895">
      <w:bodyDiv w:val="1"/>
      <w:marLeft w:val="0"/>
      <w:marRight w:val="0"/>
      <w:marTop w:val="0"/>
      <w:marBottom w:val="0"/>
      <w:divBdr>
        <w:top w:val="none" w:sz="0" w:space="0" w:color="auto"/>
        <w:left w:val="none" w:sz="0" w:space="0" w:color="auto"/>
        <w:bottom w:val="none" w:sz="0" w:space="0" w:color="auto"/>
        <w:right w:val="none" w:sz="0" w:space="0" w:color="auto"/>
      </w:divBdr>
    </w:div>
    <w:div w:id="78530418">
      <w:bodyDiv w:val="1"/>
      <w:marLeft w:val="0"/>
      <w:marRight w:val="0"/>
      <w:marTop w:val="0"/>
      <w:marBottom w:val="0"/>
      <w:divBdr>
        <w:top w:val="none" w:sz="0" w:space="0" w:color="auto"/>
        <w:left w:val="none" w:sz="0" w:space="0" w:color="auto"/>
        <w:bottom w:val="none" w:sz="0" w:space="0" w:color="auto"/>
        <w:right w:val="none" w:sz="0" w:space="0" w:color="auto"/>
      </w:divBdr>
    </w:div>
    <w:div w:id="82144577">
      <w:bodyDiv w:val="1"/>
      <w:marLeft w:val="0"/>
      <w:marRight w:val="0"/>
      <w:marTop w:val="0"/>
      <w:marBottom w:val="0"/>
      <w:divBdr>
        <w:top w:val="none" w:sz="0" w:space="0" w:color="auto"/>
        <w:left w:val="none" w:sz="0" w:space="0" w:color="auto"/>
        <w:bottom w:val="none" w:sz="0" w:space="0" w:color="auto"/>
        <w:right w:val="none" w:sz="0" w:space="0" w:color="auto"/>
      </w:divBdr>
    </w:div>
    <w:div w:id="84766725">
      <w:bodyDiv w:val="1"/>
      <w:marLeft w:val="0"/>
      <w:marRight w:val="0"/>
      <w:marTop w:val="0"/>
      <w:marBottom w:val="0"/>
      <w:divBdr>
        <w:top w:val="none" w:sz="0" w:space="0" w:color="auto"/>
        <w:left w:val="none" w:sz="0" w:space="0" w:color="auto"/>
        <w:bottom w:val="none" w:sz="0" w:space="0" w:color="auto"/>
        <w:right w:val="none" w:sz="0" w:space="0" w:color="auto"/>
      </w:divBdr>
    </w:div>
    <w:div w:id="87774252">
      <w:bodyDiv w:val="1"/>
      <w:marLeft w:val="0"/>
      <w:marRight w:val="0"/>
      <w:marTop w:val="0"/>
      <w:marBottom w:val="0"/>
      <w:divBdr>
        <w:top w:val="none" w:sz="0" w:space="0" w:color="auto"/>
        <w:left w:val="none" w:sz="0" w:space="0" w:color="auto"/>
        <w:bottom w:val="none" w:sz="0" w:space="0" w:color="auto"/>
        <w:right w:val="none" w:sz="0" w:space="0" w:color="auto"/>
      </w:divBdr>
    </w:div>
    <w:div w:id="88433214">
      <w:bodyDiv w:val="1"/>
      <w:marLeft w:val="0"/>
      <w:marRight w:val="0"/>
      <w:marTop w:val="0"/>
      <w:marBottom w:val="0"/>
      <w:divBdr>
        <w:top w:val="none" w:sz="0" w:space="0" w:color="auto"/>
        <w:left w:val="none" w:sz="0" w:space="0" w:color="auto"/>
        <w:bottom w:val="none" w:sz="0" w:space="0" w:color="auto"/>
        <w:right w:val="none" w:sz="0" w:space="0" w:color="auto"/>
      </w:divBdr>
    </w:div>
    <w:div w:id="89738930">
      <w:bodyDiv w:val="1"/>
      <w:marLeft w:val="0"/>
      <w:marRight w:val="0"/>
      <w:marTop w:val="0"/>
      <w:marBottom w:val="0"/>
      <w:divBdr>
        <w:top w:val="none" w:sz="0" w:space="0" w:color="auto"/>
        <w:left w:val="none" w:sz="0" w:space="0" w:color="auto"/>
        <w:bottom w:val="none" w:sz="0" w:space="0" w:color="auto"/>
        <w:right w:val="none" w:sz="0" w:space="0" w:color="auto"/>
      </w:divBdr>
    </w:div>
    <w:div w:id="93870772">
      <w:bodyDiv w:val="1"/>
      <w:marLeft w:val="0"/>
      <w:marRight w:val="0"/>
      <w:marTop w:val="0"/>
      <w:marBottom w:val="0"/>
      <w:divBdr>
        <w:top w:val="none" w:sz="0" w:space="0" w:color="auto"/>
        <w:left w:val="none" w:sz="0" w:space="0" w:color="auto"/>
        <w:bottom w:val="none" w:sz="0" w:space="0" w:color="auto"/>
        <w:right w:val="none" w:sz="0" w:space="0" w:color="auto"/>
      </w:divBdr>
    </w:div>
    <w:div w:id="99112927">
      <w:bodyDiv w:val="1"/>
      <w:marLeft w:val="0"/>
      <w:marRight w:val="0"/>
      <w:marTop w:val="0"/>
      <w:marBottom w:val="0"/>
      <w:divBdr>
        <w:top w:val="none" w:sz="0" w:space="0" w:color="auto"/>
        <w:left w:val="none" w:sz="0" w:space="0" w:color="auto"/>
        <w:bottom w:val="none" w:sz="0" w:space="0" w:color="auto"/>
        <w:right w:val="none" w:sz="0" w:space="0" w:color="auto"/>
      </w:divBdr>
    </w:div>
    <w:div w:id="100607109">
      <w:bodyDiv w:val="1"/>
      <w:marLeft w:val="0"/>
      <w:marRight w:val="0"/>
      <w:marTop w:val="0"/>
      <w:marBottom w:val="0"/>
      <w:divBdr>
        <w:top w:val="none" w:sz="0" w:space="0" w:color="auto"/>
        <w:left w:val="none" w:sz="0" w:space="0" w:color="auto"/>
        <w:bottom w:val="none" w:sz="0" w:space="0" w:color="auto"/>
        <w:right w:val="none" w:sz="0" w:space="0" w:color="auto"/>
      </w:divBdr>
    </w:div>
    <w:div w:id="106506235">
      <w:bodyDiv w:val="1"/>
      <w:marLeft w:val="0"/>
      <w:marRight w:val="0"/>
      <w:marTop w:val="0"/>
      <w:marBottom w:val="0"/>
      <w:divBdr>
        <w:top w:val="none" w:sz="0" w:space="0" w:color="auto"/>
        <w:left w:val="none" w:sz="0" w:space="0" w:color="auto"/>
        <w:bottom w:val="none" w:sz="0" w:space="0" w:color="auto"/>
        <w:right w:val="none" w:sz="0" w:space="0" w:color="auto"/>
      </w:divBdr>
    </w:div>
    <w:div w:id="110052672">
      <w:bodyDiv w:val="1"/>
      <w:marLeft w:val="0"/>
      <w:marRight w:val="0"/>
      <w:marTop w:val="0"/>
      <w:marBottom w:val="0"/>
      <w:divBdr>
        <w:top w:val="none" w:sz="0" w:space="0" w:color="auto"/>
        <w:left w:val="none" w:sz="0" w:space="0" w:color="auto"/>
        <w:bottom w:val="none" w:sz="0" w:space="0" w:color="auto"/>
        <w:right w:val="none" w:sz="0" w:space="0" w:color="auto"/>
      </w:divBdr>
    </w:div>
    <w:div w:id="114569159">
      <w:bodyDiv w:val="1"/>
      <w:marLeft w:val="0"/>
      <w:marRight w:val="0"/>
      <w:marTop w:val="0"/>
      <w:marBottom w:val="0"/>
      <w:divBdr>
        <w:top w:val="none" w:sz="0" w:space="0" w:color="auto"/>
        <w:left w:val="none" w:sz="0" w:space="0" w:color="auto"/>
        <w:bottom w:val="none" w:sz="0" w:space="0" w:color="auto"/>
        <w:right w:val="none" w:sz="0" w:space="0" w:color="auto"/>
      </w:divBdr>
    </w:div>
    <w:div w:id="118692224">
      <w:bodyDiv w:val="1"/>
      <w:marLeft w:val="0"/>
      <w:marRight w:val="0"/>
      <w:marTop w:val="0"/>
      <w:marBottom w:val="0"/>
      <w:divBdr>
        <w:top w:val="none" w:sz="0" w:space="0" w:color="auto"/>
        <w:left w:val="none" w:sz="0" w:space="0" w:color="auto"/>
        <w:bottom w:val="none" w:sz="0" w:space="0" w:color="auto"/>
        <w:right w:val="none" w:sz="0" w:space="0" w:color="auto"/>
      </w:divBdr>
    </w:div>
    <w:div w:id="120925546">
      <w:bodyDiv w:val="1"/>
      <w:marLeft w:val="0"/>
      <w:marRight w:val="0"/>
      <w:marTop w:val="0"/>
      <w:marBottom w:val="0"/>
      <w:divBdr>
        <w:top w:val="none" w:sz="0" w:space="0" w:color="auto"/>
        <w:left w:val="none" w:sz="0" w:space="0" w:color="auto"/>
        <w:bottom w:val="none" w:sz="0" w:space="0" w:color="auto"/>
        <w:right w:val="none" w:sz="0" w:space="0" w:color="auto"/>
      </w:divBdr>
    </w:div>
    <w:div w:id="132869543">
      <w:bodyDiv w:val="1"/>
      <w:marLeft w:val="0"/>
      <w:marRight w:val="0"/>
      <w:marTop w:val="0"/>
      <w:marBottom w:val="0"/>
      <w:divBdr>
        <w:top w:val="none" w:sz="0" w:space="0" w:color="auto"/>
        <w:left w:val="none" w:sz="0" w:space="0" w:color="auto"/>
        <w:bottom w:val="none" w:sz="0" w:space="0" w:color="auto"/>
        <w:right w:val="none" w:sz="0" w:space="0" w:color="auto"/>
      </w:divBdr>
    </w:div>
    <w:div w:id="134370758">
      <w:bodyDiv w:val="1"/>
      <w:marLeft w:val="0"/>
      <w:marRight w:val="0"/>
      <w:marTop w:val="0"/>
      <w:marBottom w:val="0"/>
      <w:divBdr>
        <w:top w:val="none" w:sz="0" w:space="0" w:color="auto"/>
        <w:left w:val="none" w:sz="0" w:space="0" w:color="auto"/>
        <w:bottom w:val="none" w:sz="0" w:space="0" w:color="auto"/>
        <w:right w:val="none" w:sz="0" w:space="0" w:color="auto"/>
      </w:divBdr>
      <w:divsChild>
        <w:div w:id="134029478">
          <w:marLeft w:val="0"/>
          <w:marRight w:val="0"/>
          <w:marTop w:val="0"/>
          <w:marBottom w:val="0"/>
          <w:divBdr>
            <w:top w:val="none" w:sz="0" w:space="0" w:color="auto"/>
            <w:left w:val="none" w:sz="0" w:space="0" w:color="auto"/>
            <w:bottom w:val="none" w:sz="0" w:space="0" w:color="auto"/>
            <w:right w:val="none" w:sz="0" w:space="0" w:color="auto"/>
          </w:divBdr>
          <w:divsChild>
            <w:div w:id="1266689303">
              <w:marLeft w:val="0"/>
              <w:marRight w:val="0"/>
              <w:marTop w:val="0"/>
              <w:marBottom w:val="0"/>
              <w:divBdr>
                <w:top w:val="none" w:sz="0" w:space="0" w:color="auto"/>
                <w:left w:val="none" w:sz="0" w:space="0" w:color="auto"/>
                <w:bottom w:val="none" w:sz="0" w:space="0" w:color="auto"/>
                <w:right w:val="none" w:sz="0" w:space="0" w:color="auto"/>
              </w:divBdr>
              <w:divsChild>
                <w:div w:id="214296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411961">
          <w:marLeft w:val="0"/>
          <w:marRight w:val="0"/>
          <w:marTop w:val="0"/>
          <w:marBottom w:val="0"/>
          <w:divBdr>
            <w:top w:val="none" w:sz="0" w:space="0" w:color="auto"/>
            <w:left w:val="none" w:sz="0" w:space="0" w:color="auto"/>
            <w:bottom w:val="none" w:sz="0" w:space="0" w:color="auto"/>
            <w:right w:val="none" w:sz="0" w:space="0" w:color="auto"/>
          </w:divBdr>
          <w:divsChild>
            <w:div w:id="96982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32922">
      <w:bodyDiv w:val="1"/>
      <w:marLeft w:val="0"/>
      <w:marRight w:val="0"/>
      <w:marTop w:val="0"/>
      <w:marBottom w:val="0"/>
      <w:divBdr>
        <w:top w:val="none" w:sz="0" w:space="0" w:color="auto"/>
        <w:left w:val="none" w:sz="0" w:space="0" w:color="auto"/>
        <w:bottom w:val="none" w:sz="0" w:space="0" w:color="auto"/>
        <w:right w:val="none" w:sz="0" w:space="0" w:color="auto"/>
      </w:divBdr>
    </w:div>
    <w:div w:id="139351504">
      <w:bodyDiv w:val="1"/>
      <w:marLeft w:val="0"/>
      <w:marRight w:val="0"/>
      <w:marTop w:val="0"/>
      <w:marBottom w:val="0"/>
      <w:divBdr>
        <w:top w:val="none" w:sz="0" w:space="0" w:color="auto"/>
        <w:left w:val="none" w:sz="0" w:space="0" w:color="auto"/>
        <w:bottom w:val="none" w:sz="0" w:space="0" w:color="auto"/>
        <w:right w:val="none" w:sz="0" w:space="0" w:color="auto"/>
      </w:divBdr>
    </w:div>
    <w:div w:id="141848317">
      <w:bodyDiv w:val="1"/>
      <w:marLeft w:val="0"/>
      <w:marRight w:val="0"/>
      <w:marTop w:val="0"/>
      <w:marBottom w:val="0"/>
      <w:divBdr>
        <w:top w:val="none" w:sz="0" w:space="0" w:color="auto"/>
        <w:left w:val="none" w:sz="0" w:space="0" w:color="auto"/>
        <w:bottom w:val="none" w:sz="0" w:space="0" w:color="auto"/>
        <w:right w:val="none" w:sz="0" w:space="0" w:color="auto"/>
      </w:divBdr>
    </w:div>
    <w:div w:id="146631610">
      <w:bodyDiv w:val="1"/>
      <w:marLeft w:val="0"/>
      <w:marRight w:val="0"/>
      <w:marTop w:val="0"/>
      <w:marBottom w:val="0"/>
      <w:divBdr>
        <w:top w:val="none" w:sz="0" w:space="0" w:color="auto"/>
        <w:left w:val="none" w:sz="0" w:space="0" w:color="auto"/>
        <w:bottom w:val="none" w:sz="0" w:space="0" w:color="auto"/>
        <w:right w:val="none" w:sz="0" w:space="0" w:color="auto"/>
      </w:divBdr>
    </w:div>
    <w:div w:id="155465616">
      <w:bodyDiv w:val="1"/>
      <w:marLeft w:val="0"/>
      <w:marRight w:val="0"/>
      <w:marTop w:val="0"/>
      <w:marBottom w:val="0"/>
      <w:divBdr>
        <w:top w:val="none" w:sz="0" w:space="0" w:color="auto"/>
        <w:left w:val="none" w:sz="0" w:space="0" w:color="auto"/>
        <w:bottom w:val="none" w:sz="0" w:space="0" w:color="auto"/>
        <w:right w:val="none" w:sz="0" w:space="0" w:color="auto"/>
      </w:divBdr>
    </w:div>
    <w:div w:id="156193488">
      <w:bodyDiv w:val="1"/>
      <w:marLeft w:val="0"/>
      <w:marRight w:val="0"/>
      <w:marTop w:val="0"/>
      <w:marBottom w:val="0"/>
      <w:divBdr>
        <w:top w:val="none" w:sz="0" w:space="0" w:color="auto"/>
        <w:left w:val="none" w:sz="0" w:space="0" w:color="auto"/>
        <w:bottom w:val="none" w:sz="0" w:space="0" w:color="auto"/>
        <w:right w:val="none" w:sz="0" w:space="0" w:color="auto"/>
      </w:divBdr>
    </w:div>
    <w:div w:id="159975795">
      <w:bodyDiv w:val="1"/>
      <w:marLeft w:val="0"/>
      <w:marRight w:val="0"/>
      <w:marTop w:val="0"/>
      <w:marBottom w:val="0"/>
      <w:divBdr>
        <w:top w:val="none" w:sz="0" w:space="0" w:color="auto"/>
        <w:left w:val="none" w:sz="0" w:space="0" w:color="auto"/>
        <w:bottom w:val="none" w:sz="0" w:space="0" w:color="auto"/>
        <w:right w:val="none" w:sz="0" w:space="0" w:color="auto"/>
      </w:divBdr>
    </w:div>
    <w:div w:id="160437095">
      <w:bodyDiv w:val="1"/>
      <w:marLeft w:val="0"/>
      <w:marRight w:val="0"/>
      <w:marTop w:val="0"/>
      <w:marBottom w:val="0"/>
      <w:divBdr>
        <w:top w:val="none" w:sz="0" w:space="0" w:color="auto"/>
        <w:left w:val="none" w:sz="0" w:space="0" w:color="auto"/>
        <w:bottom w:val="none" w:sz="0" w:space="0" w:color="auto"/>
        <w:right w:val="none" w:sz="0" w:space="0" w:color="auto"/>
      </w:divBdr>
    </w:div>
    <w:div w:id="164787206">
      <w:bodyDiv w:val="1"/>
      <w:marLeft w:val="0"/>
      <w:marRight w:val="0"/>
      <w:marTop w:val="0"/>
      <w:marBottom w:val="0"/>
      <w:divBdr>
        <w:top w:val="none" w:sz="0" w:space="0" w:color="auto"/>
        <w:left w:val="none" w:sz="0" w:space="0" w:color="auto"/>
        <w:bottom w:val="none" w:sz="0" w:space="0" w:color="auto"/>
        <w:right w:val="none" w:sz="0" w:space="0" w:color="auto"/>
      </w:divBdr>
    </w:div>
    <w:div w:id="165484899">
      <w:bodyDiv w:val="1"/>
      <w:marLeft w:val="0"/>
      <w:marRight w:val="0"/>
      <w:marTop w:val="0"/>
      <w:marBottom w:val="0"/>
      <w:divBdr>
        <w:top w:val="none" w:sz="0" w:space="0" w:color="auto"/>
        <w:left w:val="none" w:sz="0" w:space="0" w:color="auto"/>
        <w:bottom w:val="none" w:sz="0" w:space="0" w:color="auto"/>
        <w:right w:val="none" w:sz="0" w:space="0" w:color="auto"/>
      </w:divBdr>
    </w:div>
    <w:div w:id="167453852">
      <w:bodyDiv w:val="1"/>
      <w:marLeft w:val="0"/>
      <w:marRight w:val="0"/>
      <w:marTop w:val="0"/>
      <w:marBottom w:val="0"/>
      <w:divBdr>
        <w:top w:val="none" w:sz="0" w:space="0" w:color="auto"/>
        <w:left w:val="none" w:sz="0" w:space="0" w:color="auto"/>
        <w:bottom w:val="none" w:sz="0" w:space="0" w:color="auto"/>
        <w:right w:val="none" w:sz="0" w:space="0" w:color="auto"/>
      </w:divBdr>
    </w:div>
    <w:div w:id="171340320">
      <w:bodyDiv w:val="1"/>
      <w:marLeft w:val="0"/>
      <w:marRight w:val="0"/>
      <w:marTop w:val="0"/>
      <w:marBottom w:val="0"/>
      <w:divBdr>
        <w:top w:val="none" w:sz="0" w:space="0" w:color="auto"/>
        <w:left w:val="none" w:sz="0" w:space="0" w:color="auto"/>
        <w:bottom w:val="none" w:sz="0" w:space="0" w:color="auto"/>
        <w:right w:val="none" w:sz="0" w:space="0" w:color="auto"/>
      </w:divBdr>
    </w:div>
    <w:div w:id="175072427">
      <w:bodyDiv w:val="1"/>
      <w:marLeft w:val="0"/>
      <w:marRight w:val="0"/>
      <w:marTop w:val="0"/>
      <w:marBottom w:val="0"/>
      <w:divBdr>
        <w:top w:val="none" w:sz="0" w:space="0" w:color="auto"/>
        <w:left w:val="none" w:sz="0" w:space="0" w:color="auto"/>
        <w:bottom w:val="none" w:sz="0" w:space="0" w:color="auto"/>
        <w:right w:val="none" w:sz="0" w:space="0" w:color="auto"/>
      </w:divBdr>
    </w:div>
    <w:div w:id="176314230">
      <w:bodyDiv w:val="1"/>
      <w:marLeft w:val="0"/>
      <w:marRight w:val="0"/>
      <w:marTop w:val="0"/>
      <w:marBottom w:val="0"/>
      <w:divBdr>
        <w:top w:val="none" w:sz="0" w:space="0" w:color="auto"/>
        <w:left w:val="none" w:sz="0" w:space="0" w:color="auto"/>
        <w:bottom w:val="none" w:sz="0" w:space="0" w:color="auto"/>
        <w:right w:val="none" w:sz="0" w:space="0" w:color="auto"/>
      </w:divBdr>
    </w:div>
    <w:div w:id="185406622">
      <w:bodyDiv w:val="1"/>
      <w:marLeft w:val="0"/>
      <w:marRight w:val="0"/>
      <w:marTop w:val="0"/>
      <w:marBottom w:val="0"/>
      <w:divBdr>
        <w:top w:val="none" w:sz="0" w:space="0" w:color="auto"/>
        <w:left w:val="none" w:sz="0" w:space="0" w:color="auto"/>
        <w:bottom w:val="none" w:sz="0" w:space="0" w:color="auto"/>
        <w:right w:val="none" w:sz="0" w:space="0" w:color="auto"/>
      </w:divBdr>
    </w:div>
    <w:div w:id="190994079">
      <w:bodyDiv w:val="1"/>
      <w:marLeft w:val="0"/>
      <w:marRight w:val="0"/>
      <w:marTop w:val="0"/>
      <w:marBottom w:val="0"/>
      <w:divBdr>
        <w:top w:val="none" w:sz="0" w:space="0" w:color="auto"/>
        <w:left w:val="none" w:sz="0" w:space="0" w:color="auto"/>
        <w:bottom w:val="none" w:sz="0" w:space="0" w:color="auto"/>
        <w:right w:val="none" w:sz="0" w:space="0" w:color="auto"/>
      </w:divBdr>
    </w:div>
    <w:div w:id="191191419">
      <w:bodyDiv w:val="1"/>
      <w:marLeft w:val="0"/>
      <w:marRight w:val="0"/>
      <w:marTop w:val="0"/>
      <w:marBottom w:val="0"/>
      <w:divBdr>
        <w:top w:val="none" w:sz="0" w:space="0" w:color="auto"/>
        <w:left w:val="none" w:sz="0" w:space="0" w:color="auto"/>
        <w:bottom w:val="none" w:sz="0" w:space="0" w:color="auto"/>
        <w:right w:val="none" w:sz="0" w:space="0" w:color="auto"/>
      </w:divBdr>
    </w:div>
    <w:div w:id="191722494">
      <w:bodyDiv w:val="1"/>
      <w:marLeft w:val="0"/>
      <w:marRight w:val="0"/>
      <w:marTop w:val="0"/>
      <w:marBottom w:val="0"/>
      <w:divBdr>
        <w:top w:val="none" w:sz="0" w:space="0" w:color="auto"/>
        <w:left w:val="none" w:sz="0" w:space="0" w:color="auto"/>
        <w:bottom w:val="none" w:sz="0" w:space="0" w:color="auto"/>
        <w:right w:val="none" w:sz="0" w:space="0" w:color="auto"/>
      </w:divBdr>
    </w:div>
    <w:div w:id="193691281">
      <w:bodyDiv w:val="1"/>
      <w:marLeft w:val="0"/>
      <w:marRight w:val="0"/>
      <w:marTop w:val="0"/>
      <w:marBottom w:val="0"/>
      <w:divBdr>
        <w:top w:val="none" w:sz="0" w:space="0" w:color="auto"/>
        <w:left w:val="none" w:sz="0" w:space="0" w:color="auto"/>
        <w:bottom w:val="none" w:sz="0" w:space="0" w:color="auto"/>
        <w:right w:val="none" w:sz="0" w:space="0" w:color="auto"/>
      </w:divBdr>
    </w:div>
    <w:div w:id="197206151">
      <w:bodyDiv w:val="1"/>
      <w:marLeft w:val="0"/>
      <w:marRight w:val="0"/>
      <w:marTop w:val="0"/>
      <w:marBottom w:val="0"/>
      <w:divBdr>
        <w:top w:val="none" w:sz="0" w:space="0" w:color="auto"/>
        <w:left w:val="none" w:sz="0" w:space="0" w:color="auto"/>
        <w:bottom w:val="none" w:sz="0" w:space="0" w:color="auto"/>
        <w:right w:val="none" w:sz="0" w:space="0" w:color="auto"/>
      </w:divBdr>
    </w:div>
    <w:div w:id="197813612">
      <w:bodyDiv w:val="1"/>
      <w:marLeft w:val="0"/>
      <w:marRight w:val="0"/>
      <w:marTop w:val="0"/>
      <w:marBottom w:val="0"/>
      <w:divBdr>
        <w:top w:val="none" w:sz="0" w:space="0" w:color="auto"/>
        <w:left w:val="none" w:sz="0" w:space="0" w:color="auto"/>
        <w:bottom w:val="none" w:sz="0" w:space="0" w:color="auto"/>
        <w:right w:val="none" w:sz="0" w:space="0" w:color="auto"/>
      </w:divBdr>
    </w:div>
    <w:div w:id="205341959">
      <w:bodyDiv w:val="1"/>
      <w:marLeft w:val="0"/>
      <w:marRight w:val="0"/>
      <w:marTop w:val="0"/>
      <w:marBottom w:val="0"/>
      <w:divBdr>
        <w:top w:val="none" w:sz="0" w:space="0" w:color="auto"/>
        <w:left w:val="none" w:sz="0" w:space="0" w:color="auto"/>
        <w:bottom w:val="none" w:sz="0" w:space="0" w:color="auto"/>
        <w:right w:val="none" w:sz="0" w:space="0" w:color="auto"/>
      </w:divBdr>
    </w:div>
    <w:div w:id="211576685">
      <w:bodyDiv w:val="1"/>
      <w:marLeft w:val="0"/>
      <w:marRight w:val="0"/>
      <w:marTop w:val="0"/>
      <w:marBottom w:val="0"/>
      <w:divBdr>
        <w:top w:val="none" w:sz="0" w:space="0" w:color="auto"/>
        <w:left w:val="none" w:sz="0" w:space="0" w:color="auto"/>
        <w:bottom w:val="none" w:sz="0" w:space="0" w:color="auto"/>
        <w:right w:val="none" w:sz="0" w:space="0" w:color="auto"/>
      </w:divBdr>
    </w:div>
    <w:div w:id="218176442">
      <w:bodyDiv w:val="1"/>
      <w:marLeft w:val="0"/>
      <w:marRight w:val="0"/>
      <w:marTop w:val="0"/>
      <w:marBottom w:val="0"/>
      <w:divBdr>
        <w:top w:val="none" w:sz="0" w:space="0" w:color="auto"/>
        <w:left w:val="none" w:sz="0" w:space="0" w:color="auto"/>
        <w:bottom w:val="none" w:sz="0" w:space="0" w:color="auto"/>
        <w:right w:val="none" w:sz="0" w:space="0" w:color="auto"/>
      </w:divBdr>
      <w:divsChild>
        <w:div w:id="3291429">
          <w:marLeft w:val="446"/>
          <w:marRight w:val="0"/>
          <w:marTop w:val="0"/>
          <w:marBottom w:val="0"/>
          <w:divBdr>
            <w:top w:val="none" w:sz="0" w:space="0" w:color="auto"/>
            <w:left w:val="none" w:sz="0" w:space="0" w:color="auto"/>
            <w:bottom w:val="none" w:sz="0" w:space="0" w:color="auto"/>
            <w:right w:val="none" w:sz="0" w:space="0" w:color="auto"/>
          </w:divBdr>
        </w:div>
        <w:div w:id="209076578">
          <w:marLeft w:val="446"/>
          <w:marRight w:val="0"/>
          <w:marTop w:val="0"/>
          <w:marBottom w:val="0"/>
          <w:divBdr>
            <w:top w:val="none" w:sz="0" w:space="0" w:color="auto"/>
            <w:left w:val="none" w:sz="0" w:space="0" w:color="auto"/>
            <w:bottom w:val="none" w:sz="0" w:space="0" w:color="auto"/>
            <w:right w:val="none" w:sz="0" w:space="0" w:color="auto"/>
          </w:divBdr>
        </w:div>
        <w:div w:id="223108667">
          <w:marLeft w:val="446"/>
          <w:marRight w:val="0"/>
          <w:marTop w:val="0"/>
          <w:marBottom w:val="0"/>
          <w:divBdr>
            <w:top w:val="none" w:sz="0" w:space="0" w:color="auto"/>
            <w:left w:val="none" w:sz="0" w:space="0" w:color="auto"/>
            <w:bottom w:val="none" w:sz="0" w:space="0" w:color="auto"/>
            <w:right w:val="none" w:sz="0" w:space="0" w:color="auto"/>
          </w:divBdr>
        </w:div>
        <w:div w:id="227228078">
          <w:marLeft w:val="446"/>
          <w:marRight w:val="0"/>
          <w:marTop w:val="0"/>
          <w:marBottom w:val="0"/>
          <w:divBdr>
            <w:top w:val="none" w:sz="0" w:space="0" w:color="auto"/>
            <w:left w:val="none" w:sz="0" w:space="0" w:color="auto"/>
            <w:bottom w:val="none" w:sz="0" w:space="0" w:color="auto"/>
            <w:right w:val="none" w:sz="0" w:space="0" w:color="auto"/>
          </w:divBdr>
        </w:div>
        <w:div w:id="263658713">
          <w:marLeft w:val="446"/>
          <w:marRight w:val="0"/>
          <w:marTop w:val="0"/>
          <w:marBottom w:val="0"/>
          <w:divBdr>
            <w:top w:val="none" w:sz="0" w:space="0" w:color="auto"/>
            <w:left w:val="none" w:sz="0" w:space="0" w:color="auto"/>
            <w:bottom w:val="none" w:sz="0" w:space="0" w:color="auto"/>
            <w:right w:val="none" w:sz="0" w:space="0" w:color="auto"/>
          </w:divBdr>
        </w:div>
        <w:div w:id="288630926">
          <w:marLeft w:val="446"/>
          <w:marRight w:val="0"/>
          <w:marTop w:val="0"/>
          <w:marBottom w:val="0"/>
          <w:divBdr>
            <w:top w:val="none" w:sz="0" w:space="0" w:color="auto"/>
            <w:left w:val="none" w:sz="0" w:space="0" w:color="auto"/>
            <w:bottom w:val="none" w:sz="0" w:space="0" w:color="auto"/>
            <w:right w:val="none" w:sz="0" w:space="0" w:color="auto"/>
          </w:divBdr>
        </w:div>
        <w:div w:id="387924241">
          <w:marLeft w:val="446"/>
          <w:marRight w:val="0"/>
          <w:marTop w:val="0"/>
          <w:marBottom w:val="0"/>
          <w:divBdr>
            <w:top w:val="none" w:sz="0" w:space="0" w:color="auto"/>
            <w:left w:val="none" w:sz="0" w:space="0" w:color="auto"/>
            <w:bottom w:val="none" w:sz="0" w:space="0" w:color="auto"/>
            <w:right w:val="none" w:sz="0" w:space="0" w:color="auto"/>
          </w:divBdr>
        </w:div>
        <w:div w:id="397751539">
          <w:marLeft w:val="446"/>
          <w:marRight w:val="0"/>
          <w:marTop w:val="0"/>
          <w:marBottom w:val="0"/>
          <w:divBdr>
            <w:top w:val="none" w:sz="0" w:space="0" w:color="auto"/>
            <w:left w:val="none" w:sz="0" w:space="0" w:color="auto"/>
            <w:bottom w:val="none" w:sz="0" w:space="0" w:color="auto"/>
            <w:right w:val="none" w:sz="0" w:space="0" w:color="auto"/>
          </w:divBdr>
        </w:div>
        <w:div w:id="460417333">
          <w:marLeft w:val="446"/>
          <w:marRight w:val="0"/>
          <w:marTop w:val="0"/>
          <w:marBottom w:val="0"/>
          <w:divBdr>
            <w:top w:val="none" w:sz="0" w:space="0" w:color="auto"/>
            <w:left w:val="none" w:sz="0" w:space="0" w:color="auto"/>
            <w:bottom w:val="none" w:sz="0" w:space="0" w:color="auto"/>
            <w:right w:val="none" w:sz="0" w:space="0" w:color="auto"/>
          </w:divBdr>
        </w:div>
        <w:div w:id="531378095">
          <w:marLeft w:val="446"/>
          <w:marRight w:val="0"/>
          <w:marTop w:val="0"/>
          <w:marBottom w:val="0"/>
          <w:divBdr>
            <w:top w:val="none" w:sz="0" w:space="0" w:color="auto"/>
            <w:left w:val="none" w:sz="0" w:space="0" w:color="auto"/>
            <w:bottom w:val="none" w:sz="0" w:space="0" w:color="auto"/>
            <w:right w:val="none" w:sz="0" w:space="0" w:color="auto"/>
          </w:divBdr>
        </w:div>
        <w:div w:id="539172077">
          <w:marLeft w:val="446"/>
          <w:marRight w:val="0"/>
          <w:marTop w:val="0"/>
          <w:marBottom w:val="0"/>
          <w:divBdr>
            <w:top w:val="none" w:sz="0" w:space="0" w:color="auto"/>
            <w:left w:val="none" w:sz="0" w:space="0" w:color="auto"/>
            <w:bottom w:val="none" w:sz="0" w:space="0" w:color="auto"/>
            <w:right w:val="none" w:sz="0" w:space="0" w:color="auto"/>
          </w:divBdr>
        </w:div>
        <w:div w:id="576983398">
          <w:marLeft w:val="446"/>
          <w:marRight w:val="0"/>
          <w:marTop w:val="0"/>
          <w:marBottom w:val="0"/>
          <w:divBdr>
            <w:top w:val="none" w:sz="0" w:space="0" w:color="auto"/>
            <w:left w:val="none" w:sz="0" w:space="0" w:color="auto"/>
            <w:bottom w:val="none" w:sz="0" w:space="0" w:color="auto"/>
            <w:right w:val="none" w:sz="0" w:space="0" w:color="auto"/>
          </w:divBdr>
        </w:div>
        <w:div w:id="635527178">
          <w:marLeft w:val="446"/>
          <w:marRight w:val="0"/>
          <w:marTop w:val="0"/>
          <w:marBottom w:val="0"/>
          <w:divBdr>
            <w:top w:val="none" w:sz="0" w:space="0" w:color="auto"/>
            <w:left w:val="none" w:sz="0" w:space="0" w:color="auto"/>
            <w:bottom w:val="none" w:sz="0" w:space="0" w:color="auto"/>
            <w:right w:val="none" w:sz="0" w:space="0" w:color="auto"/>
          </w:divBdr>
        </w:div>
        <w:div w:id="664238323">
          <w:marLeft w:val="446"/>
          <w:marRight w:val="0"/>
          <w:marTop w:val="0"/>
          <w:marBottom w:val="0"/>
          <w:divBdr>
            <w:top w:val="none" w:sz="0" w:space="0" w:color="auto"/>
            <w:left w:val="none" w:sz="0" w:space="0" w:color="auto"/>
            <w:bottom w:val="none" w:sz="0" w:space="0" w:color="auto"/>
            <w:right w:val="none" w:sz="0" w:space="0" w:color="auto"/>
          </w:divBdr>
        </w:div>
        <w:div w:id="769394823">
          <w:marLeft w:val="446"/>
          <w:marRight w:val="0"/>
          <w:marTop w:val="0"/>
          <w:marBottom w:val="0"/>
          <w:divBdr>
            <w:top w:val="none" w:sz="0" w:space="0" w:color="auto"/>
            <w:left w:val="none" w:sz="0" w:space="0" w:color="auto"/>
            <w:bottom w:val="none" w:sz="0" w:space="0" w:color="auto"/>
            <w:right w:val="none" w:sz="0" w:space="0" w:color="auto"/>
          </w:divBdr>
        </w:div>
        <w:div w:id="841776114">
          <w:marLeft w:val="446"/>
          <w:marRight w:val="0"/>
          <w:marTop w:val="0"/>
          <w:marBottom w:val="0"/>
          <w:divBdr>
            <w:top w:val="none" w:sz="0" w:space="0" w:color="auto"/>
            <w:left w:val="none" w:sz="0" w:space="0" w:color="auto"/>
            <w:bottom w:val="none" w:sz="0" w:space="0" w:color="auto"/>
            <w:right w:val="none" w:sz="0" w:space="0" w:color="auto"/>
          </w:divBdr>
        </w:div>
        <w:div w:id="944269907">
          <w:marLeft w:val="446"/>
          <w:marRight w:val="0"/>
          <w:marTop w:val="0"/>
          <w:marBottom w:val="0"/>
          <w:divBdr>
            <w:top w:val="none" w:sz="0" w:space="0" w:color="auto"/>
            <w:left w:val="none" w:sz="0" w:space="0" w:color="auto"/>
            <w:bottom w:val="none" w:sz="0" w:space="0" w:color="auto"/>
            <w:right w:val="none" w:sz="0" w:space="0" w:color="auto"/>
          </w:divBdr>
        </w:div>
        <w:div w:id="1100295010">
          <w:marLeft w:val="446"/>
          <w:marRight w:val="0"/>
          <w:marTop w:val="0"/>
          <w:marBottom w:val="0"/>
          <w:divBdr>
            <w:top w:val="none" w:sz="0" w:space="0" w:color="auto"/>
            <w:left w:val="none" w:sz="0" w:space="0" w:color="auto"/>
            <w:bottom w:val="none" w:sz="0" w:space="0" w:color="auto"/>
            <w:right w:val="none" w:sz="0" w:space="0" w:color="auto"/>
          </w:divBdr>
        </w:div>
        <w:div w:id="1149829947">
          <w:marLeft w:val="446"/>
          <w:marRight w:val="0"/>
          <w:marTop w:val="0"/>
          <w:marBottom w:val="0"/>
          <w:divBdr>
            <w:top w:val="none" w:sz="0" w:space="0" w:color="auto"/>
            <w:left w:val="none" w:sz="0" w:space="0" w:color="auto"/>
            <w:bottom w:val="none" w:sz="0" w:space="0" w:color="auto"/>
            <w:right w:val="none" w:sz="0" w:space="0" w:color="auto"/>
          </w:divBdr>
        </w:div>
        <w:div w:id="1227912543">
          <w:marLeft w:val="446"/>
          <w:marRight w:val="0"/>
          <w:marTop w:val="0"/>
          <w:marBottom w:val="0"/>
          <w:divBdr>
            <w:top w:val="none" w:sz="0" w:space="0" w:color="auto"/>
            <w:left w:val="none" w:sz="0" w:space="0" w:color="auto"/>
            <w:bottom w:val="none" w:sz="0" w:space="0" w:color="auto"/>
            <w:right w:val="none" w:sz="0" w:space="0" w:color="auto"/>
          </w:divBdr>
        </w:div>
        <w:div w:id="1878732107">
          <w:marLeft w:val="446"/>
          <w:marRight w:val="0"/>
          <w:marTop w:val="0"/>
          <w:marBottom w:val="0"/>
          <w:divBdr>
            <w:top w:val="none" w:sz="0" w:space="0" w:color="auto"/>
            <w:left w:val="none" w:sz="0" w:space="0" w:color="auto"/>
            <w:bottom w:val="none" w:sz="0" w:space="0" w:color="auto"/>
            <w:right w:val="none" w:sz="0" w:space="0" w:color="auto"/>
          </w:divBdr>
        </w:div>
        <w:div w:id="2028821634">
          <w:marLeft w:val="446"/>
          <w:marRight w:val="0"/>
          <w:marTop w:val="0"/>
          <w:marBottom w:val="0"/>
          <w:divBdr>
            <w:top w:val="none" w:sz="0" w:space="0" w:color="auto"/>
            <w:left w:val="none" w:sz="0" w:space="0" w:color="auto"/>
            <w:bottom w:val="none" w:sz="0" w:space="0" w:color="auto"/>
            <w:right w:val="none" w:sz="0" w:space="0" w:color="auto"/>
          </w:divBdr>
        </w:div>
        <w:div w:id="2062173542">
          <w:marLeft w:val="446"/>
          <w:marRight w:val="0"/>
          <w:marTop w:val="0"/>
          <w:marBottom w:val="0"/>
          <w:divBdr>
            <w:top w:val="none" w:sz="0" w:space="0" w:color="auto"/>
            <w:left w:val="none" w:sz="0" w:space="0" w:color="auto"/>
            <w:bottom w:val="none" w:sz="0" w:space="0" w:color="auto"/>
            <w:right w:val="none" w:sz="0" w:space="0" w:color="auto"/>
          </w:divBdr>
        </w:div>
      </w:divsChild>
    </w:div>
    <w:div w:id="221603304">
      <w:bodyDiv w:val="1"/>
      <w:marLeft w:val="0"/>
      <w:marRight w:val="0"/>
      <w:marTop w:val="0"/>
      <w:marBottom w:val="0"/>
      <w:divBdr>
        <w:top w:val="none" w:sz="0" w:space="0" w:color="auto"/>
        <w:left w:val="none" w:sz="0" w:space="0" w:color="auto"/>
        <w:bottom w:val="none" w:sz="0" w:space="0" w:color="auto"/>
        <w:right w:val="none" w:sz="0" w:space="0" w:color="auto"/>
      </w:divBdr>
    </w:div>
    <w:div w:id="224685890">
      <w:bodyDiv w:val="1"/>
      <w:marLeft w:val="0"/>
      <w:marRight w:val="0"/>
      <w:marTop w:val="0"/>
      <w:marBottom w:val="0"/>
      <w:divBdr>
        <w:top w:val="none" w:sz="0" w:space="0" w:color="auto"/>
        <w:left w:val="none" w:sz="0" w:space="0" w:color="auto"/>
        <w:bottom w:val="none" w:sz="0" w:space="0" w:color="auto"/>
        <w:right w:val="none" w:sz="0" w:space="0" w:color="auto"/>
      </w:divBdr>
    </w:div>
    <w:div w:id="225116183">
      <w:bodyDiv w:val="1"/>
      <w:marLeft w:val="0"/>
      <w:marRight w:val="0"/>
      <w:marTop w:val="0"/>
      <w:marBottom w:val="0"/>
      <w:divBdr>
        <w:top w:val="none" w:sz="0" w:space="0" w:color="auto"/>
        <w:left w:val="none" w:sz="0" w:space="0" w:color="auto"/>
        <w:bottom w:val="none" w:sz="0" w:space="0" w:color="auto"/>
        <w:right w:val="none" w:sz="0" w:space="0" w:color="auto"/>
      </w:divBdr>
    </w:div>
    <w:div w:id="228880651">
      <w:bodyDiv w:val="1"/>
      <w:marLeft w:val="0"/>
      <w:marRight w:val="0"/>
      <w:marTop w:val="0"/>
      <w:marBottom w:val="0"/>
      <w:divBdr>
        <w:top w:val="none" w:sz="0" w:space="0" w:color="auto"/>
        <w:left w:val="none" w:sz="0" w:space="0" w:color="auto"/>
        <w:bottom w:val="none" w:sz="0" w:space="0" w:color="auto"/>
        <w:right w:val="none" w:sz="0" w:space="0" w:color="auto"/>
      </w:divBdr>
    </w:div>
    <w:div w:id="234704461">
      <w:bodyDiv w:val="1"/>
      <w:marLeft w:val="0"/>
      <w:marRight w:val="0"/>
      <w:marTop w:val="0"/>
      <w:marBottom w:val="0"/>
      <w:divBdr>
        <w:top w:val="none" w:sz="0" w:space="0" w:color="auto"/>
        <w:left w:val="none" w:sz="0" w:space="0" w:color="auto"/>
        <w:bottom w:val="none" w:sz="0" w:space="0" w:color="auto"/>
        <w:right w:val="none" w:sz="0" w:space="0" w:color="auto"/>
      </w:divBdr>
    </w:div>
    <w:div w:id="243076158">
      <w:bodyDiv w:val="1"/>
      <w:marLeft w:val="0"/>
      <w:marRight w:val="0"/>
      <w:marTop w:val="0"/>
      <w:marBottom w:val="0"/>
      <w:divBdr>
        <w:top w:val="none" w:sz="0" w:space="0" w:color="auto"/>
        <w:left w:val="none" w:sz="0" w:space="0" w:color="auto"/>
        <w:bottom w:val="none" w:sz="0" w:space="0" w:color="auto"/>
        <w:right w:val="none" w:sz="0" w:space="0" w:color="auto"/>
      </w:divBdr>
    </w:div>
    <w:div w:id="244385699">
      <w:bodyDiv w:val="1"/>
      <w:marLeft w:val="0"/>
      <w:marRight w:val="0"/>
      <w:marTop w:val="0"/>
      <w:marBottom w:val="0"/>
      <w:divBdr>
        <w:top w:val="none" w:sz="0" w:space="0" w:color="auto"/>
        <w:left w:val="none" w:sz="0" w:space="0" w:color="auto"/>
        <w:bottom w:val="none" w:sz="0" w:space="0" w:color="auto"/>
        <w:right w:val="none" w:sz="0" w:space="0" w:color="auto"/>
      </w:divBdr>
    </w:div>
    <w:div w:id="245849831">
      <w:bodyDiv w:val="1"/>
      <w:marLeft w:val="0"/>
      <w:marRight w:val="0"/>
      <w:marTop w:val="0"/>
      <w:marBottom w:val="0"/>
      <w:divBdr>
        <w:top w:val="none" w:sz="0" w:space="0" w:color="auto"/>
        <w:left w:val="none" w:sz="0" w:space="0" w:color="auto"/>
        <w:bottom w:val="none" w:sz="0" w:space="0" w:color="auto"/>
        <w:right w:val="none" w:sz="0" w:space="0" w:color="auto"/>
      </w:divBdr>
    </w:div>
    <w:div w:id="247234124">
      <w:bodyDiv w:val="1"/>
      <w:marLeft w:val="0"/>
      <w:marRight w:val="0"/>
      <w:marTop w:val="0"/>
      <w:marBottom w:val="0"/>
      <w:divBdr>
        <w:top w:val="none" w:sz="0" w:space="0" w:color="auto"/>
        <w:left w:val="none" w:sz="0" w:space="0" w:color="auto"/>
        <w:bottom w:val="none" w:sz="0" w:space="0" w:color="auto"/>
        <w:right w:val="none" w:sz="0" w:space="0" w:color="auto"/>
      </w:divBdr>
      <w:divsChild>
        <w:div w:id="42563488">
          <w:marLeft w:val="446"/>
          <w:marRight w:val="0"/>
          <w:marTop w:val="0"/>
          <w:marBottom w:val="0"/>
          <w:divBdr>
            <w:top w:val="none" w:sz="0" w:space="0" w:color="auto"/>
            <w:left w:val="none" w:sz="0" w:space="0" w:color="auto"/>
            <w:bottom w:val="none" w:sz="0" w:space="0" w:color="auto"/>
            <w:right w:val="none" w:sz="0" w:space="0" w:color="auto"/>
          </w:divBdr>
        </w:div>
        <w:div w:id="200677721">
          <w:marLeft w:val="446"/>
          <w:marRight w:val="0"/>
          <w:marTop w:val="0"/>
          <w:marBottom w:val="0"/>
          <w:divBdr>
            <w:top w:val="none" w:sz="0" w:space="0" w:color="auto"/>
            <w:left w:val="none" w:sz="0" w:space="0" w:color="auto"/>
            <w:bottom w:val="none" w:sz="0" w:space="0" w:color="auto"/>
            <w:right w:val="none" w:sz="0" w:space="0" w:color="auto"/>
          </w:divBdr>
        </w:div>
        <w:div w:id="740102793">
          <w:marLeft w:val="446"/>
          <w:marRight w:val="0"/>
          <w:marTop w:val="0"/>
          <w:marBottom w:val="0"/>
          <w:divBdr>
            <w:top w:val="none" w:sz="0" w:space="0" w:color="auto"/>
            <w:left w:val="none" w:sz="0" w:space="0" w:color="auto"/>
            <w:bottom w:val="none" w:sz="0" w:space="0" w:color="auto"/>
            <w:right w:val="none" w:sz="0" w:space="0" w:color="auto"/>
          </w:divBdr>
        </w:div>
        <w:div w:id="757139337">
          <w:marLeft w:val="446"/>
          <w:marRight w:val="0"/>
          <w:marTop w:val="0"/>
          <w:marBottom w:val="0"/>
          <w:divBdr>
            <w:top w:val="none" w:sz="0" w:space="0" w:color="auto"/>
            <w:left w:val="none" w:sz="0" w:space="0" w:color="auto"/>
            <w:bottom w:val="none" w:sz="0" w:space="0" w:color="auto"/>
            <w:right w:val="none" w:sz="0" w:space="0" w:color="auto"/>
          </w:divBdr>
        </w:div>
        <w:div w:id="864320874">
          <w:marLeft w:val="446"/>
          <w:marRight w:val="0"/>
          <w:marTop w:val="0"/>
          <w:marBottom w:val="0"/>
          <w:divBdr>
            <w:top w:val="none" w:sz="0" w:space="0" w:color="auto"/>
            <w:left w:val="none" w:sz="0" w:space="0" w:color="auto"/>
            <w:bottom w:val="none" w:sz="0" w:space="0" w:color="auto"/>
            <w:right w:val="none" w:sz="0" w:space="0" w:color="auto"/>
          </w:divBdr>
        </w:div>
        <w:div w:id="943733637">
          <w:marLeft w:val="446"/>
          <w:marRight w:val="0"/>
          <w:marTop w:val="0"/>
          <w:marBottom w:val="0"/>
          <w:divBdr>
            <w:top w:val="none" w:sz="0" w:space="0" w:color="auto"/>
            <w:left w:val="none" w:sz="0" w:space="0" w:color="auto"/>
            <w:bottom w:val="none" w:sz="0" w:space="0" w:color="auto"/>
            <w:right w:val="none" w:sz="0" w:space="0" w:color="auto"/>
          </w:divBdr>
        </w:div>
        <w:div w:id="987630993">
          <w:marLeft w:val="446"/>
          <w:marRight w:val="0"/>
          <w:marTop w:val="0"/>
          <w:marBottom w:val="0"/>
          <w:divBdr>
            <w:top w:val="none" w:sz="0" w:space="0" w:color="auto"/>
            <w:left w:val="none" w:sz="0" w:space="0" w:color="auto"/>
            <w:bottom w:val="none" w:sz="0" w:space="0" w:color="auto"/>
            <w:right w:val="none" w:sz="0" w:space="0" w:color="auto"/>
          </w:divBdr>
        </w:div>
        <w:div w:id="1018891245">
          <w:marLeft w:val="446"/>
          <w:marRight w:val="0"/>
          <w:marTop w:val="0"/>
          <w:marBottom w:val="0"/>
          <w:divBdr>
            <w:top w:val="none" w:sz="0" w:space="0" w:color="auto"/>
            <w:left w:val="none" w:sz="0" w:space="0" w:color="auto"/>
            <w:bottom w:val="none" w:sz="0" w:space="0" w:color="auto"/>
            <w:right w:val="none" w:sz="0" w:space="0" w:color="auto"/>
          </w:divBdr>
        </w:div>
        <w:div w:id="1295142039">
          <w:marLeft w:val="446"/>
          <w:marRight w:val="0"/>
          <w:marTop w:val="0"/>
          <w:marBottom w:val="0"/>
          <w:divBdr>
            <w:top w:val="none" w:sz="0" w:space="0" w:color="auto"/>
            <w:left w:val="none" w:sz="0" w:space="0" w:color="auto"/>
            <w:bottom w:val="none" w:sz="0" w:space="0" w:color="auto"/>
            <w:right w:val="none" w:sz="0" w:space="0" w:color="auto"/>
          </w:divBdr>
        </w:div>
        <w:div w:id="1324431102">
          <w:marLeft w:val="446"/>
          <w:marRight w:val="0"/>
          <w:marTop w:val="0"/>
          <w:marBottom w:val="0"/>
          <w:divBdr>
            <w:top w:val="none" w:sz="0" w:space="0" w:color="auto"/>
            <w:left w:val="none" w:sz="0" w:space="0" w:color="auto"/>
            <w:bottom w:val="none" w:sz="0" w:space="0" w:color="auto"/>
            <w:right w:val="none" w:sz="0" w:space="0" w:color="auto"/>
          </w:divBdr>
        </w:div>
        <w:div w:id="1367634996">
          <w:marLeft w:val="446"/>
          <w:marRight w:val="0"/>
          <w:marTop w:val="0"/>
          <w:marBottom w:val="0"/>
          <w:divBdr>
            <w:top w:val="none" w:sz="0" w:space="0" w:color="auto"/>
            <w:left w:val="none" w:sz="0" w:space="0" w:color="auto"/>
            <w:bottom w:val="none" w:sz="0" w:space="0" w:color="auto"/>
            <w:right w:val="none" w:sz="0" w:space="0" w:color="auto"/>
          </w:divBdr>
        </w:div>
        <w:div w:id="1588688281">
          <w:marLeft w:val="446"/>
          <w:marRight w:val="0"/>
          <w:marTop w:val="0"/>
          <w:marBottom w:val="0"/>
          <w:divBdr>
            <w:top w:val="none" w:sz="0" w:space="0" w:color="auto"/>
            <w:left w:val="none" w:sz="0" w:space="0" w:color="auto"/>
            <w:bottom w:val="none" w:sz="0" w:space="0" w:color="auto"/>
            <w:right w:val="none" w:sz="0" w:space="0" w:color="auto"/>
          </w:divBdr>
        </w:div>
        <w:div w:id="1745377553">
          <w:marLeft w:val="446"/>
          <w:marRight w:val="0"/>
          <w:marTop w:val="0"/>
          <w:marBottom w:val="0"/>
          <w:divBdr>
            <w:top w:val="none" w:sz="0" w:space="0" w:color="auto"/>
            <w:left w:val="none" w:sz="0" w:space="0" w:color="auto"/>
            <w:bottom w:val="none" w:sz="0" w:space="0" w:color="auto"/>
            <w:right w:val="none" w:sz="0" w:space="0" w:color="auto"/>
          </w:divBdr>
        </w:div>
      </w:divsChild>
    </w:div>
    <w:div w:id="256334965">
      <w:bodyDiv w:val="1"/>
      <w:marLeft w:val="0"/>
      <w:marRight w:val="0"/>
      <w:marTop w:val="0"/>
      <w:marBottom w:val="0"/>
      <w:divBdr>
        <w:top w:val="none" w:sz="0" w:space="0" w:color="auto"/>
        <w:left w:val="none" w:sz="0" w:space="0" w:color="auto"/>
        <w:bottom w:val="none" w:sz="0" w:space="0" w:color="auto"/>
        <w:right w:val="none" w:sz="0" w:space="0" w:color="auto"/>
      </w:divBdr>
    </w:div>
    <w:div w:id="268439726">
      <w:bodyDiv w:val="1"/>
      <w:marLeft w:val="0"/>
      <w:marRight w:val="0"/>
      <w:marTop w:val="0"/>
      <w:marBottom w:val="0"/>
      <w:divBdr>
        <w:top w:val="none" w:sz="0" w:space="0" w:color="auto"/>
        <w:left w:val="none" w:sz="0" w:space="0" w:color="auto"/>
        <w:bottom w:val="none" w:sz="0" w:space="0" w:color="auto"/>
        <w:right w:val="none" w:sz="0" w:space="0" w:color="auto"/>
      </w:divBdr>
    </w:div>
    <w:div w:id="271059353">
      <w:bodyDiv w:val="1"/>
      <w:marLeft w:val="0"/>
      <w:marRight w:val="0"/>
      <w:marTop w:val="0"/>
      <w:marBottom w:val="0"/>
      <w:divBdr>
        <w:top w:val="none" w:sz="0" w:space="0" w:color="auto"/>
        <w:left w:val="none" w:sz="0" w:space="0" w:color="auto"/>
        <w:bottom w:val="none" w:sz="0" w:space="0" w:color="auto"/>
        <w:right w:val="none" w:sz="0" w:space="0" w:color="auto"/>
      </w:divBdr>
    </w:div>
    <w:div w:id="272128334">
      <w:bodyDiv w:val="1"/>
      <w:marLeft w:val="0"/>
      <w:marRight w:val="0"/>
      <w:marTop w:val="0"/>
      <w:marBottom w:val="0"/>
      <w:divBdr>
        <w:top w:val="none" w:sz="0" w:space="0" w:color="auto"/>
        <w:left w:val="none" w:sz="0" w:space="0" w:color="auto"/>
        <w:bottom w:val="none" w:sz="0" w:space="0" w:color="auto"/>
        <w:right w:val="none" w:sz="0" w:space="0" w:color="auto"/>
      </w:divBdr>
    </w:div>
    <w:div w:id="272329923">
      <w:bodyDiv w:val="1"/>
      <w:marLeft w:val="0"/>
      <w:marRight w:val="0"/>
      <w:marTop w:val="0"/>
      <w:marBottom w:val="0"/>
      <w:divBdr>
        <w:top w:val="none" w:sz="0" w:space="0" w:color="auto"/>
        <w:left w:val="none" w:sz="0" w:space="0" w:color="auto"/>
        <w:bottom w:val="none" w:sz="0" w:space="0" w:color="auto"/>
        <w:right w:val="none" w:sz="0" w:space="0" w:color="auto"/>
      </w:divBdr>
    </w:div>
    <w:div w:id="272829127">
      <w:bodyDiv w:val="1"/>
      <w:marLeft w:val="0"/>
      <w:marRight w:val="0"/>
      <w:marTop w:val="0"/>
      <w:marBottom w:val="0"/>
      <w:divBdr>
        <w:top w:val="none" w:sz="0" w:space="0" w:color="auto"/>
        <w:left w:val="none" w:sz="0" w:space="0" w:color="auto"/>
        <w:bottom w:val="none" w:sz="0" w:space="0" w:color="auto"/>
        <w:right w:val="none" w:sz="0" w:space="0" w:color="auto"/>
      </w:divBdr>
    </w:div>
    <w:div w:id="277876226">
      <w:bodyDiv w:val="1"/>
      <w:marLeft w:val="0"/>
      <w:marRight w:val="0"/>
      <w:marTop w:val="0"/>
      <w:marBottom w:val="0"/>
      <w:divBdr>
        <w:top w:val="none" w:sz="0" w:space="0" w:color="auto"/>
        <w:left w:val="none" w:sz="0" w:space="0" w:color="auto"/>
        <w:bottom w:val="none" w:sz="0" w:space="0" w:color="auto"/>
        <w:right w:val="none" w:sz="0" w:space="0" w:color="auto"/>
      </w:divBdr>
    </w:div>
    <w:div w:id="279343495">
      <w:bodyDiv w:val="1"/>
      <w:marLeft w:val="0"/>
      <w:marRight w:val="0"/>
      <w:marTop w:val="0"/>
      <w:marBottom w:val="0"/>
      <w:divBdr>
        <w:top w:val="none" w:sz="0" w:space="0" w:color="auto"/>
        <w:left w:val="none" w:sz="0" w:space="0" w:color="auto"/>
        <w:bottom w:val="none" w:sz="0" w:space="0" w:color="auto"/>
        <w:right w:val="none" w:sz="0" w:space="0" w:color="auto"/>
      </w:divBdr>
    </w:div>
    <w:div w:id="279383147">
      <w:bodyDiv w:val="1"/>
      <w:marLeft w:val="0"/>
      <w:marRight w:val="0"/>
      <w:marTop w:val="0"/>
      <w:marBottom w:val="0"/>
      <w:divBdr>
        <w:top w:val="none" w:sz="0" w:space="0" w:color="auto"/>
        <w:left w:val="none" w:sz="0" w:space="0" w:color="auto"/>
        <w:bottom w:val="none" w:sz="0" w:space="0" w:color="auto"/>
        <w:right w:val="none" w:sz="0" w:space="0" w:color="auto"/>
      </w:divBdr>
    </w:div>
    <w:div w:id="283968708">
      <w:bodyDiv w:val="1"/>
      <w:marLeft w:val="0"/>
      <w:marRight w:val="0"/>
      <w:marTop w:val="0"/>
      <w:marBottom w:val="0"/>
      <w:divBdr>
        <w:top w:val="none" w:sz="0" w:space="0" w:color="auto"/>
        <w:left w:val="none" w:sz="0" w:space="0" w:color="auto"/>
        <w:bottom w:val="none" w:sz="0" w:space="0" w:color="auto"/>
        <w:right w:val="none" w:sz="0" w:space="0" w:color="auto"/>
      </w:divBdr>
    </w:div>
    <w:div w:id="294483016">
      <w:bodyDiv w:val="1"/>
      <w:marLeft w:val="0"/>
      <w:marRight w:val="0"/>
      <w:marTop w:val="0"/>
      <w:marBottom w:val="0"/>
      <w:divBdr>
        <w:top w:val="none" w:sz="0" w:space="0" w:color="auto"/>
        <w:left w:val="none" w:sz="0" w:space="0" w:color="auto"/>
        <w:bottom w:val="none" w:sz="0" w:space="0" w:color="auto"/>
        <w:right w:val="none" w:sz="0" w:space="0" w:color="auto"/>
      </w:divBdr>
    </w:div>
    <w:div w:id="296447394">
      <w:bodyDiv w:val="1"/>
      <w:marLeft w:val="0"/>
      <w:marRight w:val="0"/>
      <w:marTop w:val="0"/>
      <w:marBottom w:val="0"/>
      <w:divBdr>
        <w:top w:val="none" w:sz="0" w:space="0" w:color="auto"/>
        <w:left w:val="none" w:sz="0" w:space="0" w:color="auto"/>
        <w:bottom w:val="none" w:sz="0" w:space="0" w:color="auto"/>
        <w:right w:val="none" w:sz="0" w:space="0" w:color="auto"/>
      </w:divBdr>
    </w:div>
    <w:div w:id="315033860">
      <w:bodyDiv w:val="1"/>
      <w:marLeft w:val="0"/>
      <w:marRight w:val="0"/>
      <w:marTop w:val="0"/>
      <w:marBottom w:val="0"/>
      <w:divBdr>
        <w:top w:val="none" w:sz="0" w:space="0" w:color="auto"/>
        <w:left w:val="none" w:sz="0" w:space="0" w:color="auto"/>
        <w:bottom w:val="none" w:sz="0" w:space="0" w:color="auto"/>
        <w:right w:val="none" w:sz="0" w:space="0" w:color="auto"/>
      </w:divBdr>
    </w:div>
    <w:div w:id="322054276">
      <w:bodyDiv w:val="1"/>
      <w:marLeft w:val="0"/>
      <w:marRight w:val="0"/>
      <w:marTop w:val="0"/>
      <w:marBottom w:val="0"/>
      <w:divBdr>
        <w:top w:val="none" w:sz="0" w:space="0" w:color="auto"/>
        <w:left w:val="none" w:sz="0" w:space="0" w:color="auto"/>
        <w:bottom w:val="none" w:sz="0" w:space="0" w:color="auto"/>
        <w:right w:val="none" w:sz="0" w:space="0" w:color="auto"/>
      </w:divBdr>
    </w:div>
    <w:div w:id="326596402">
      <w:bodyDiv w:val="1"/>
      <w:marLeft w:val="0"/>
      <w:marRight w:val="0"/>
      <w:marTop w:val="0"/>
      <w:marBottom w:val="0"/>
      <w:divBdr>
        <w:top w:val="none" w:sz="0" w:space="0" w:color="auto"/>
        <w:left w:val="none" w:sz="0" w:space="0" w:color="auto"/>
        <w:bottom w:val="none" w:sz="0" w:space="0" w:color="auto"/>
        <w:right w:val="none" w:sz="0" w:space="0" w:color="auto"/>
      </w:divBdr>
    </w:div>
    <w:div w:id="329137403">
      <w:bodyDiv w:val="1"/>
      <w:marLeft w:val="0"/>
      <w:marRight w:val="0"/>
      <w:marTop w:val="0"/>
      <w:marBottom w:val="0"/>
      <w:divBdr>
        <w:top w:val="none" w:sz="0" w:space="0" w:color="auto"/>
        <w:left w:val="none" w:sz="0" w:space="0" w:color="auto"/>
        <w:bottom w:val="none" w:sz="0" w:space="0" w:color="auto"/>
        <w:right w:val="none" w:sz="0" w:space="0" w:color="auto"/>
      </w:divBdr>
    </w:div>
    <w:div w:id="342056502">
      <w:bodyDiv w:val="1"/>
      <w:marLeft w:val="0"/>
      <w:marRight w:val="0"/>
      <w:marTop w:val="0"/>
      <w:marBottom w:val="0"/>
      <w:divBdr>
        <w:top w:val="none" w:sz="0" w:space="0" w:color="auto"/>
        <w:left w:val="none" w:sz="0" w:space="0" w:color="auto"/>
        <w:bottom w:val="none" w:sz="0" w:space="0" w:color="auto"/>
        <w:right w:val="none" w:sz="0" w:space="0" w:color="auto"/>
      </w:divBdr>
    </w:div>
    <w:div w:id="343476635">
      <w:bodyDiv w:val="1"/>
      <w:marLeft w:val="0"/>
      <w:marRight w:val="0"/>
      <w:marTop w:val="0"/>
      <w:marBottom w:val="0"/>
      <w:divBdr>
        <w:top w:val="none" w:sz="0" w:space="0" w:color="auto"/>
        <w:left w:val="none" w:sz="0" w:space="0" w:color="auto"/>
        <w:bottom w:val="none" w:sz="0" w:space="0" w:color="auto"/>
        <w:right w:val="none" w:sz="0" w:space="0" w:color="auto"/>
      </w:divBdr>
    </w:div>
    <w:div w:id="344676244">
      <w:bodyDiv w:val="1"/>
      <w:marLeft w:val="0"/>
      <w:marRight w:val="0"/>
      <w:marTop w:val="0"/>
      <w:marBottom w:val="0"/>
      <w:divBdr>
        <w:top w:val="none" w:sz="0" w:space="0" w:color="auto"/>
        <w:left w:val="none" w:sz="0" w:space="0" w:color="auto"/>
        <w:bottom w:val="none" w:sz="0" w:space="0" w:color="auto"/>
        <w:right w:val="none" w:sz="0" w:space="0" w:color="auto"/>
      </w:divBdr>
    </w:div>
    <w:div w:id="347829064">
      <w:bodyDiv w:val="1"/>
      <w:marLeft w:val="0"/>
      <w:marRight w:val="0"/>
      <w:marTop w:val="0"/>
      <w:marBottom w:val="0"/>
      <w:divBdr>
        <w:top w:val="none" w:sz="0" w:space="0" w:color="auto"/>
        <w:left w:val="none" w:sz="0" w:space="0" w:color="auto"/>
        <w:bottom w:val="none" w:sz="0" w:space="0" w:color="auto"/>
        <w:right w:val="none" w:sz="0" w:space="0" w:color="auto"/>
      </w:divBdr>
    </w:div>
    <w:div w:id="353119347">
      <w:bodyDiv w:val="1"/>
      <w:marLeft w:val="0"/>
      <w:marRight w:val="0"/>
      <w:marTop w:val="0"/>
      <w:marBottom w:val="0"/>
      <w:divBdr>
        <w:top w:val="none" w:sz="0" w:space="0" w:color="auto"/>
        <w:left w:val="none" w:sz="0" w:space="0" w:color="auto"/>
        <w:bottom w:val="none" w:sz="0" w:space="0" w:color="auto"/>
        <w:right w:val="none" w:sz="0" w:space="0" w:color="auto"/>
      </w:divBdr>
    </w:div>
    <w:div w:id="358547529">
      <w:bodyDiv w:val="1"/>
      <w:marLeft w:val="0"/>
      <w:marRight w:val="0"/>
      <w:marTop w:val="0"/>
      <w:marBottom w:val="0"/>
      <w:divBdr>
        <w:top w:val="none" w:sz="0" w:space="0" w:color="auto"/>
        <w:left w:val="none" w:sz="0" w:space="0" w:color="auto"/>
        <w:bottom w:val="none" w:sz="0" w:space="0" w:color="auto"/>
        <w:right w:val="none" w:sz="0" w:space="0" w:color="auto"/>
      </w:divBdr>
    </w:div>
    <w:div w:id="358896441">
      <w:bodyDiv w:val="1"/>
      <w:marLeft w:val="0"/>
      <w:marRight w:val="0"/>
      <w:marTop w:val="0"/>
      <w:marBottom w:val="0"/>
      <w:divBdr>
        <w:top w:val="none" w:sz="0" w:space="0" w:color="auto"/>
        <w:left w:val="none" w:sz="0" w:space="0" w:color="auto"/>
        <w:bottom w:val="none" w:sz="0" w:space="0" w:color="auto"/>
        <w:right w:val="none" w:sz="0" w:space="0" w:color="auto"/>
      </w:divBdr>
    </w:div>
    <w:div w:id="359865717">
      <w:bodyDiv w:val="1"/>
      <w:marLeft w:val="0"/>
      <w:marRight w:val="0"/>
      <w:marTop w:val="0"/>
      <w:marBottom w:val="0"/>
      <w:divBdr>
        <w:top w:val="none" w:sz="0" w:space="0" w:color="auto"/>
        <w:left w:val="none" w:sz="0" w:space="0" w:color="auto"/>
        <w:bottom w:val="none" w:sz="0" w:space="0" w:color="auto"/>
        <w:right w:val="none" w:sz="0" w:space="0" w:color="auto"/>
      </w:divBdr>
    </w:div>
    <w:div w:id="360666581">
      <w:bodyDiv w:val="1"/>
      <w:marLeft w:val="0"/>
      <w:marRight w:val="0"/>
      <w:marTop w:val="0"/>
      <w:marBottom w:val="0"/>
      <w:divBdr>
        <w:top w:val="none" w:sz="0" w:space="0" w:color="auto"/>
        <w:left w:val="none" w:sz="0" w:space="0" w:color="auto"/>
        <w:bottom w:val="none" w:sz="0" w:space="0" w:color="auto"/>
        <w:right w:val="none" w:sz="0" w:space="0" w:color="auto"/>
      </w:divBdr>
    </w:div>
    <w:div w:id="366684958">
      <w:bodyDiv w:val="1"/>
      <w:marLeft w:val="0"/>
      <w:marRight w:val="0"/>
      <w:marTop w:val="0"/>
      <w:marBottom w:val="0"/>
      <w:divBdr>
        <w:top w:val="none" w:sz="0" w:space="0" w:color="auto"/>
        <w:left w:val="none" w:sz="0" w:space="0" w:color="auto"/>
        <w:bottom w:val="none" w:sz="0" w:space="0" w:color="auto"/>
        <w:right w:val="none" w:sz="0" w:space="0" w:color="auto"/>
      </w:divBdr>
    </w:div>
    <w:div w:id="366687198">
      <w:bodyDiv w:val="1"/>
      <w:marLeft w:val="0"/>
      <w:marRight w:val="0"/>
      <w:marTop w:val="0"/>
      <w:marBottom w:val="0"/>
      <w:divBdr>
        <w:top w:val="none" w:sz="0" w:space="0" w:color="auto"/>
        <w:left w:val="none" w:sz="0" w:space="0" w:color="auto"/>
        <w:bottom w:val="none" w:sz="0" w:space="0" w:color="auto"/>
        <w:right w:val="none" w:sz="0" w:space="0" w:color="auto"/>
      </w:divBdr>
    </w:div>
    <w:div w:id="377827776">
      <w:bodyDiv w:val="1"/>
      <w:marLeft w:val="0"/>
      <w:marRight w:val="0"/>
      <w:marTop w:val="0"/>
      <w:marBottom w:val="0"/>
      <w:divBdr>
        <w:top w:val="none" w:sz="0" w:space="0" w:color="auto"/>
        <w:left w:val="none" w:sz="0" w:space="0" w:color="auto"/>
        <w:bottom w:val="none" w:sz="0" w:space="0" w:color="auto"/>
        <w:right w:val="none" w:sz="0" w:space="0" w:color="auto"/>
      </w:divBdr>
    </w:div>
    <w:div w:id="380906172">
      <w:bodyDiv w:val="1"/>
      <w:marLeft w:val="0"/>
      <w:marRight w:val="0"/>
      <w:marTop w:val="0"/>
      <w:marBottom w:val="0"/>
      <w:divBdr>
        <w:top w:val="none" w:sz="0" w:space="0" w:color="auto"/>
        <w:left w:val="none" w:sz="0" w:space="0" w:color="auto"/>
        <w:bottom w:val="none" w:sz="0" w:space="0" w:color="auto"/>
        <w:right w:val="none" w:sz="0" w:space="0" w:color="auto"/>
      </w:divBdr>
    </w:div>
    <w:div w:id="385379174">
      <w:bodyDiv w:val="1"/>
      <w:marLeft w:val="0"/>
      <w:marRight w:val="0"/>
      <w:marTop w:val="0"/>
      <w:marBottom w:val="0"/>
      <w:divBdr>
        <w:top w:val="none" w:sz="0" w:space="0" w:color="auto"/>
        <w:left w:val="none" w:sz="0" w:space="0" w:color="auto"/>
        <w:bottom w:val="none" w:sz="0" w:space="0" w:color="auto"/>
        <w:right w:val="none" w:sz="0" w:space="0" w:color="auto"/>
      </w:divBdr>
    </w:div>
    <w:div w:id="386610847">
      <w:bodyDiv w:val="1"/>
      <w:marLeft w:val="0"/>
      <w:marRight w:val="0"/>
      <w:marTop w:val="0"/>
      <w:marBottom w:val="0"/>
      <w:divBdr>
        <w:top w:val="none" w:sz="0" w:space="0" w:color="auto"/>
        <w:left w:val="none" w:sz="0" w:space="0" w:color="auto"/>
        <w:bottom w:val="none" w:sz="0" w:space="0" w:color="auto"/>
        <w:right w:val="none" w:sz="0" w:space="0" w:color="auto"/>
      </w:divBdr>
    </w:div>
    <w:div w:id="391006490">
      <w:bodyDiv w:val="1"/>
      <w:marLeft w:val="0"/>
      <w:marRight w:val="0"/>
      <w:marTop w:val="0"/>
      <w:marBottom w:val="0"/>
      <w:divBdr>
        <w:top w:val="none" w:sz="0" w:space="0" w:color="auto"/>
        <w:left w:val="none" w:sz="0" w:space="0" w:color="auto"/>
        <w:bottom w:val="none" w:sz="0" w:space="0" w:color="auto"/>
        <w:right w:val="none" w:sz="0" w:space="0" w:color="auto"/>
      </w:divBdr>
    </w:div>
    <w:div w:id="391853082">
      <w:bodyDiv w:val="1"/>
      <w:marLeft w:val="0"/>
      <w:marRight w:val="0"/>
      <w:marTop w:val="0"/>
      <w:marBottom w:val="0"/>
      <w:divBdr>
        <w:top w:val="none" w:sz="0" w:space="0" w:color="auto"/>
        <w:left w:val="none" w:sz="0" w:space="0" w:color="auto"/>
        <w:bottom w:val="none" w:sz="0" w:space="0" w:color="auto"/>
        <w:right w:val="none" w:sz="0" w:space="0" w:color="auto"/>
      </w:divBdr>
    </w:div>
    <w:div w:id="392240233">
      <w:bodyDiv w:val="1"/>
      <w:marLeft w:val="0"/>
      <w:marRight w:val="0"/>
      <w:marTop w:val="0"/>
      <w:marBottom w:val="0"/>
      <w:divBdr>
        <w:top w:val="none" w:sz="0" w:space="0" w:color="auto"/>
        <w:left w:val="none" w:sz="0" w:space="0" w:color="auto"/>
        <w:bottom w:val="none" w:sz="0" w:space="0" w:color="auto"/>
        <w:right w:val="none" w:sz="0" w:space="0" w:color="auto"/>
      </w:divBdr>
    </w:div>
    <w:div w:id="392899290">
      <w:bodyDiv w:val="1"/>
      <w:marLeft w:val="0"/>
      <w:marRight w:val="0"/>
      <w:marTop w:val="0"/>
      <w:marBottom w:val="0"/>
      <w:divBdr>
        <w:top w:val="none" w:sz="0" w:space="0" w:color="auto"/>
        <w:left w:val="none" w:sz="0" w:space="0" w:color="auto"/>
        <w:bottom w:val="none" w:sz="0" w:space="0" w:color="auto"/>
        <w:right w:val="none" w:sz="0" w:space="0" w:color="auto"/>
      </w:divBdr>
    </w:div>
    <w:div w:id="393941283">
      <w:bodyDiv w:val="1"/>
      <w:marLeft w:val="0"/>
      <w:marRight w:val="0"/>
      <w:marTop w:val="0"/>
      <w:marBottom w:val="0"/>
      <w:divBdr>
        <w:top w:val="none" w:sz="0" w:space="0" w:color="auto"/>
        <w:left w:val="none" w:sz="0" w:space="0" w:color="auto"/>
        <w:bottom w:val="none" w:sz="0" w:space="0" w:color="auto"/>
        <w:right w:val="none" w:sz="0" w:space="0" w:color="auto"/>
      </w:divBdr>
    </w:div>
    <w:div w:id="396166214">
      <w:bodyDiv w:val="1"/>
      <w:marLeft w:val="0"/>
      <w:marRight w:val="0"/>
      <w:marTop w:val="0"/>
      <w:marBottom w:val="0"/>
      <w:divBdr>
        <w:top w:val="none" w:sz="0" w:space="0" w:color="auto"/>
        <w:left w:val="none" w:sz="0" w:space="0" w:color="auto"/>
        <w:bottom w:val="none" w:sz="0" w:space="0" w:color="auto"/>
        <w:right w:val="none" w:sz="0" w:space="0" w:color="auto"/>
      </w:divBdr>
    </w:div>
    <w:div w:id="400178269">
      <w:bodyDiv w:val="1"/>
      <w:marLeft w:val="0"/>
      <w:marRight w:val="0"/>
      <w:marTop w:val="0"/>
      <w:marBottom w:val="0"/>
      <w:divBdr>
        <w:top w:val="none" w:sz="0" w:space="0" w:color="auto"/>
        <w:left w:val="none" w:sz="0" w:space="0" w:color="auto"/>
        <w:bottom w:val="none" w:sz="0" w:space="0" w:color="auto"/>
        <w:right w:val="none" w:sz="0" w:space="0" w:color="auto"/>
      </w:divBdr>
    </w:div>
    <w:div w:id="401104344">
      <w:bodyDiv w:val="1"/>
      <w:marLeft w:val="0"/>
      <w:marRight w:val="0"/>
      <w:marTop w:val="0"/>
      <w:marBottom w:val="0"/>
      <w:divBdr>
        <w:top w:val="none" w:sz="0" w:space="0" w:color="auto"/>
        <w:left w:val="none" w:sz="0" w:space="0" w:color="auto"/>
        <w:bottom w:val="none" w:sz="0" w:space="0" w:color="auto"/>
        <w:right w:val="none" w:sz="0" w:space="0" w:color="auto"/>
      </w:divBdr>
    </w:div>
    <w:div w:id="401297306">
      <w:bodyDiv w:val="1"/>
      <w:marLeft w:val="0"/>
      <w:marRight w:val="0"/>
      <w:marTop w:val="0"/>
      <w:marBottom w:val="0"/>
      <w:divBdr>
        <w:top w:val="none" w:sz="0" w:space="0" w:color="auto"/>
        <w:left w:val="none" w:sz="0" w:space="0" w:color="auto"/>
        <w:bottom w:val="none" w:sz="0" w:space="0" w:color="auto"/>
        <w:right w:val="none" w:sz="0" w:space="0" w:color="auto"/>
      </w:divBdr>
    </w:div>
    <w:div w:id="408508132">
      <w:bodyDiv w:val="1"/>
      <w:marLeft w:val="0"/>
      <w:marRight w:val="0"/>
      <w:marTop w:val="0"/>
      <w:marBottom w:val="0"/>
      <w:divBdr>
        <w:top w:val="none" w:sz="0" w:space="0" w:color="auto"/>
        <w:left w:val="none" w:sz="0" w:space="0" w:color="auto"/>
        <w:bottom w:val="none" w:sz="0" w:space="0" w:color="auto"/>
        <w:right w:val="none" w:sz="0" w:space="0" w:color="auto"/>
      </w:divBdr>
    </w:div>
    <w:div w:id="412822132">
      <w:bodyDiv w:val="1"/>
      <w:marLeft w:val="0"/>
      <w:marRight w:val="0"/>
      <w:marTop w:val="0"/>
      <w:marBottom w:val="0"/>
      <w:divBdr>
        <w:top w:val="none" w:sz="0" w:space="0" w:color="auto"/>
        <w:left w:val="none" w:sz="0" w:space="0" w:color="auto"/>
        <w:bottom w:val="none" w:sz="0" w:space="0" w:color="auto"/>
        <w:right w:val="none" w:sz="0" w:space="0" w:color="auto"/>
      </w:divBdr>
    </w:div>
    <w:div w:id="414597540">
      <w:bodyDiv w:val="1"/>
      <w:marLeft w:val="0"/>
      <w:marRight w:val="0"/>
      <w:marTop w:val="0"/>
      <w:marBottom w:val="0"/>
      <w:divBdr>
        <w:top w:val="none" w:sz="0" w:space="0" w:color="auto"/>
        <w:left w:val="none" w:sz="0" w:space="0" w:color="auto"/>
        <w:bottom w:val="none" w:sz="0" w:space="0" w:color="auto"/>
        <w:right w:val="none" w:sz="0" w:space="0" w:color="auto"/>
      </w:divBdr>
    </w:div>
    <w:div w:id="417531028">
      <w:bodyDiv w:val="1"/>
      <w:marLeft w:val="0"/>
      <w:marRight w:val="0"/>
      <w:marTop w:val="0"/>
      <w:marBottom w:val="0"/>
      <w:divBdr>
        <w:top w:val="none" w:sz="0" w:space="0" w:color="auto"/>
        <w:left w:val="none" w:sz="0" w:space="0" w:color="auto"/>
        <w:bottom w:val="none" w:sz="0" w:space="0" w:color="auto"/>
        <w:right w:val="none" w:sz="0" w:space="0" w:color="auto"/>
      </w:divBdr>
    </w:div>
    <w:div w:id="419716271">
      <w:bodyDiv w:val="1"/>
      <w:marLeft w:val="0"/>
      <w:marRight w:val="0"/>
      <w:marTop w:val="0"/>
      <w:marBottom w:val="0"/>
      <w:divBdr>
        <w:top w:val="none" w:sz="0" w:space="0" w:color="auto"/>
        <w:left w:val="none" w:sz="0" w:space="0" w:color="auto"/>
        <w:bottom w:val="none" w:sz="0" w:space="0" w:color="auto"/>
        <w:right w:val="none" w:sz="0" w:space="0" w:color="auto"/>
      </w:divBdr>
    </w:div>
    <w:div w:id="432676142">
      <w:bodyDiv w:val="1"/>
      <w:marLeft w:val="0"/>
      <w:marRight w:val="0"/>
      <w:marTop w:val="0"/>
      <w:marBottom w:val="0"/>
      <w:divBdr>
        <w:top w:val="none" w:sz="0" w:space="0" w:color="auto"/>
        <w:left w:val="none" w:sz="0" w:space="0" w:color="auto"/>
        <w:bottom w:val="none" w:sz="0" w:space="0" w:color="auto"/>
        <w:right w:val="none" w:sz="0" w:space="0" w:color="auto"/>
      </w:divBdr>
    </w:div>
    <w:div w:id="433136975">
      <w:bodyDiv w:val="1"/>
      <w:marLeft w:val="0"/>
      <w:marRight w:val="0"/>
      <w:marTop w:val="0"/>
      <w:marBottom w:val="0"/>
      <w:divBdr>
        <w:top w:val="none" w:sz="0" w:space="0" w:color="auto"/>
        <w:left w:val="none" w:sz="0" w:space="0" w:color="auto"/>
        <w:bottom w:val="none" w:sz="0" w:space="0" w:color="auto"/>
        <w:right w:val="none" w:sz="0" w:space="0" w:color="auto"/>
      </w:divBdr>
    </w:div>
    <w:div w:id="433944983">
      <w:bodyDiv w:val="1"/>
      <w:marLeft w:val="0"/>
      <w:marRight w:val="0"/>
      <w:marTop w:val="0"/>
      <w:marBottom w:val="0"/>
      <w:divBdr>
        <w:top w:val="none" w:sz="0" w:space="0" w:color="auto"/>
        <w:left w:val="none" w:sz="0" w:space="0" w:color="auto"/>
        <w:bottom w:val="none" w:sz="0" w:space="0" w:color="auto"/>
        <w:right w:val="none" w:sz="0" w:space="0" w:color="auto"/>
      </w:divBdr>
    </w:div>
    <w:div w:id="435175699">
      <w:bodyDiv w:val="1"/>
      <w:marLeft w:val="0"/>
      <w:marRight w:val="0"/>
      <w:marTop w:val="0"/>
      <w:marBottom w:val="0"/>
      <w:divBdr>
        <w:top w:val="none" w:sz="0" w:space="0" w:color="auto"/>
        <w:left w:val="none" w:sz="0" w:space="0" w:color="auto"/>
        <w:bottom w:val="none" w:sz="0" w:space="0" w:color="auto"/>
        <w:right w:val="none" w:sz="0" w:space="0" w:color="auto"/>
      </w:divBdr>
    </w:div>
    <w:div w:id="436797493">
      <w:bodyDiv w:val="1"/>
      <w:marLeft w:val="0"/>
      <w:marRight w:val="0"/>
      <w:marTop w:val="0"/>
      <w:marBottom w:val="0"/>
      <w:divBdr>
        <w:top w:val="none" w:sz="0" w:space="0" w:color="auto"/>
        <w:left w:val="none" w:sz="0" w:space="0" w:color="auto"/>
        <w:bottom w:val="none" w:sz="0" w:space="0" w:color="auto"/>
        <w:right w:val="none" w:sz="0" w:space="0" w:color="auto"/>
      </w:divBdr>
    </w:div>
    <w:div w:id="437021901">
      <w:bodyDiv w:val="1"/>
      <w:marLeft w:val="0"/>
      <w:marRight w:val="0"/>
      <w:marTop w:val="0"/>
      <w:marBottom w:val="0"/>
      <w:divBdr>
        <w:top w:val="none" w:sz="0" w:space="0" w:color="auto"/>
        <w:left w:val="none" w:sz="0" w:space="0" w:color="auto"/>
        <w:bottom w:val="none" w:sz="0" w:space="0" w:color="auto"/>
        <w:right w:val="none" w:sz="0" w:space="0" w:color="auto"/>
      </w:divBdr>
    </w:div>
    <w:div w:id="437720672">
      <w:bodyDiv w:val="1"/>
      <w:marLeft w:val="0"/>
      <w:marRight w:val="0"/>
      <w:marTop w:val="0"/>
      <w:marBottom w:val="0"/>
      <w:divBdr>
        <w:top w:val="none" w:sz="0" w:space="0" w:color="auto"/>
        <w:left w:val="none" w:sz="0" w:space="0" w:color="auto"/>
        <w:bottom w:val="none" w:sz="0" w:space="0" w:color="auto"/>
        <w:right w:val="none" w:sz="0" w:space="0" w:color="auto"/>
      </w:divBdr>
    </w:div>
    <w:div w:id="438720280">
      <w:bodyDiv w:val="1"/>
      <w:marLeft w:val="0"/>
      <w:marRight w:val="0"/>
      <w:marTop w:val="0"/>
      <w:marBottom w:val="0"/>
      <w:divBdr>
        <w:top w:val="none" w:sz="0" w:space="0" w:color="auto"/>
        <w:left w:val="none" w:sz="0" w:space="0" w:color="auto"/>
        <w:bottom w:val="none" w:sz="0" w:space="0" w:color="auto"/>
        <w:right w:val="none" w:sz="0" w:space="0" w:color="auto"/>
      </w:divBdr>
    </w:div>
    <w:div w:id="438794947">
      <w:bodyDiv w:val="1"/>
      <w:marLeft w:val="0"/>
      <w:marRight w:val="0"/>
      <w:marTop w:val="0"/>
      <w:marBottom w:val="0"/>
      <w:divBdr>
        <w:top w:val="none" w:sz="0" w:space="0" w:color="auto"/>
        <w:left w:val="none" w:sz="0" w:space="0" w:color="auto"/>
        <w:bottom w:val="none" w:sz="0" w:space="0" w:color="auto"/>
        <w:right w:val="none" w:sz="0" w:space="0" w:color="auto"/>
      </w:divBdr>
    </w:div>
    <w:div w:id="441610241">
      <w:bodyDiv w:val="1"/>
      <w:marLeft w:val="0"/>
      <w:marRight w:val="0"/>
      <w:marTop w:val="0"/>
      <w:marBottom w:val="0"/>
      <w:divBdr>
        <w:top w:val="none" w:sz="0" w:space="0" w:color="auto"/>
        <w:left w:val="none" w:sz="0" w:space="0" w:color="auto"/>
        <w:bottom w:val="none" w:sz="0" w:space="0" w:color="auto"/>
        <w:right w:val="none" w:sz="0" w:space="0" w:color="auto"/>
      </w:divBdr>
    </w:div>
    <w:div w:id="444158784">
      <w:bodyDiv w:val="1"/>
      <w:marLeft w:val="0"/>
      <w:marRight w:val="0"/>
      <w:marTop w:val="0"/>
      <w:marBottom w:val="0"/>
      <w:divBdr>
        <w:top w:val="none" w:sz="0" w:space="0" w:color="auto"/>
        <w:left w:val="none" w:sz="0" w:space="0" w:color="auto"/>
        <w:bottom w:val="none" w:sz="0" w:space="0" w:color="auto"/>
        <w:right w:val="none" w:sz="0" w:space="0" w:color="auto"/>
      </w:divBdr>
    </w:div>
    <w:div w:id="447041692">
      <w:bodyDiv w:val="1"/>
      <w:marLeft w:val="0"/>
      <w:marRight w:val="0"/>
      <w:marTop w:val="0"/>
      <w:marBottom w:val="0"/>
      <w:divBdr>
        <w:top w:val="none" w:sz="0" w:space="0" w:color="auto"/>
        <w:left w:val="none" w:sz="0" w:space="0" w:color="auto"/>
        <w:bottom w:val="none" w:sz="0" w:space="0" w:color="auto"/>
        <w:right w:val="none" w:sz="0" w:space="0" w:color="auto"/>
      </w:divBdr>
    </w:div>
    <w:div w:id="447508402">
      <w:bodyDiv w:val="1"/>
      <w:marLeft w:val="0"/>
      <w:marRight w:val="0"/>
      <w:marTop w:val="0"/>
      <w:marBottom w:val="0"/>
      <w:divBdr>
        <w:top w:val="none" w:sz="0" w:space="0" w:color="auto"/>
        <w:left w:val="none" w:sz="0" w:space="0" w:color="auto"/>
        <w:bottom w:val="none" w:sz="0" w:space="0" w:color="auto"/>
        <w:right w:val="none" w:sz="0" w:space="0" w:color="auto"/>
      </w:divBdr>
    </w:div>
    <w:div w:id="452678328">
      <w:bodyDiv w:val="1"/>
      <w:marLeft w:val="0"/>
      <w:marRight w:val="0"/>
      <w:marTop w:val="0"/>
      <w:marBottom w:val="0"/>
      <w:divBdr>
        <w:top w:val="none" w:sz="0" w:space="0" w:color="auto"/>
        <w:left w:val="none" w:sz="0" w:space="0" w:color="auto"/>
        <w:bottom w:val="none" w:sz="0" w:space="0" w:color="auto"/>
        <w:right w:val="none" w:sz="0" w:space="0" w:color="auto"/>
      </w:divBdr>
    </w:div>
    <w:div w:id="457801267">
      <w:bodyDiv w:val="1"/>
      <w:marLeft w:val="0"/>
      <w:marRight w:val="0"/>
      <w:marTop w:val="0"/>
      <w:marBottom w:val="0"/>
      <w:divBdr>
        <w:top w:val="none" w:sz="0" w:space="0" w:color="auto"/>
        <w:left w:val="none" w:sz="0" w:space="0" w:color="auto"/>
        <w:bottom w:val="none" w:sz="0" w:space="0" w:color="auto"/>
        <w:right w:val="none" w:sz="0" w:space="0" w:color="auto"/>
      </w:divBdr>
    </w:div>
    <w:div w:id="459306002">
      <w:bodyDiv w:val="1"/>
      <w:marLeft w:val="0"/>
      <w:marRight w:val="0"/>
      <w:marTop w:val="0"/>
      <w:marBottom w:val="0"/>
      <w:divBdr>
        <w:top w:val="none" w:sz="0" w:space="0" w:color="auto"/>
        <w:left w:val="none" w:sz="0" w:space="0" w:color="auto"/>
        <w:bottom w:val="none" w:sz="0" w:space="0" w:color="auto"/>
        <w:right w:val="none" w:sz="0" w:space="0" w:color="auto"/>
      </w:divBdr>
    </w:div>
    <w:div w:id="459491712">
      <w:bodyDiv w:val="1"/>
      <w:marLeft w:val="0"/>
      <w:marRight w:val="0"/>
      <w:marTop w:val="0"/>
      <w:marBottom w:val="0"/>
      <w:divBdr>
        <w:top w:val="none" w:sz="0" w:space="0" w:color="auto"/>
        <w:left w:val="none" w:sz="0" w:space="0" w:color="auto"/>
        <w:bottom w:val="none" w:sz="0" w:space="0" w:color="auto"/>
        <w:right w:val="none" w:sz="0" w:space="0" w:color="auto"/>
      </w:divBdr>
    </w:div>
    <w:div w:id="460653907">
      <w:bodyDiv w:val="1"/>
      <w:marLeft w:val="0"/>
      <w:marRight w:val="0"/>
      <w:marTop w:val="0"/>
      <w:marBottom w:val="0"/>
      <w:divBdr>
        <w:top w:val="none" w:sz="0" w:space="0" w:color="auto"/>
        <w:left w:val="none" w:sz="0" w:space="0" w:color="auto"/>
        <w:bottom w:val="none" w:sz="0" w:space="0" w:color="auto"/>
        <w:right w:val="none" w:sz="0" w:space="0" w:color="auto"/>
      </w:divBdr>
    </w:div>
    <w:div w:id="467015797">
      <w:bodyDiv w:val="1"/>
      <w:marLeft w:val="0"/>
      <w:marRight w:val="0"/>
      <w:marTop w:val="0"/>
      <w:marBottom w:val="0"/>
      <w:divBdr>
        <w:top w:val="none" w:sz="0" w:space="0" w:color="auto"/>
        <w:left w:val="none" w:sz="0" w:space="0" w:color="auto"/>
        <w:bottom w:val="none" w:sz="0" w:space="0" w:color="auto"/>
        <w:right w:val="none" w:sz="0" w:space="0" w:color="auto"/>
      </w:divBdr>
    </w:div>
    <w:div w:id="467557415">
      <w:bodyDiv w:val="1"/>
      <w:marLeft w:val="0"/>
      <w:marRight w:val="0"/>
      <w:marTop w:val="0"/>
      <w:marBottom w:val="0"/>
      <w:divBdr>
        <w:top w:val="none" w:sz="0" w:space="0" w:color="auto"/>
        <w:left w:val="none" w:sz="0" w:space="0" w:color="auto"/>
        <w:bottom w:val="none" w:sz="0" w:space="0" w:color="auto"/>
        <w:right w:val="none" w:sz="0" w:space="0" w:color="auto"/>
      </w:divBdr>
    </w:div>
    <w:div w:id="470293009">
      <w:bodyDiv w:val="1"/>
      <w:marLeft w:val="0"/>
      <w:marRight w:val="0"/>
      <w:marTop w:val="0"/>
      <w:marBottom w:val="0"/>
      <w:divBdr>
        <w:top w:val="none" w:sz="0" w:space="0" w:color="auto"/>
        <w:left w:val="none" w:sz="0" w:space="0" w:color="auto"/>
        <w:bottom w:val="none" w:sz="0" w:space="0" w:color="auto"/>
        <w:right w:val="none" w:sz="0" w:space="0" w:color="auto"/>
      </w:divBdr>
    </w:div>
    <w:div w:id="472062686">
      <w:bodyDiv w:val="1"/>
      <w:marLeft w:val="0"/>
      <w:marRight w:val="0"/>
      <w:marTop w:val="0"/>
      <w:marBottom w:val="0"/>
      <w:divBdr>
        <w:top w:val="none" w:sz="0" w:space="0" w:color="auto"/>
        <w:left w:val="none" w:sz="0" w:space="0" w:color="auto"/>
        <w:bottom w:val="none" w:sz="0" w:space="0" w:color="auto"/>
        <w:right w:val="none" w:sz="0" w:space="0" w:color="auto"/>
      </w:divBdr>
    </w:div>
    <w:div w:id="473568194">
      <w:bodyDiv w:val="1"/>
      <w:marLeft w:val="0"/>
      <w:marRight w:val="0"/>
      <w:marTop w:val="0"/>
      <w:marBottom w:val="0"/>
      <w:divBdr>
        <w:top w:val="none" w:sz="0" w:space="0" w:color="auto"/>
        <w:left w:val="none" w:sz="0" w:space="0" w:color="auto"/>
        <w:bottom w:val="none" w:sz="0" w:space="0" w:color="auto"/>
        <w:right w:val="none" w:sz="0" w:space="0" w:color="auto"/>
      </w:divBdr>
    </w:div>
    <w:div w:id="476804136">
      <w:bodyDiv w:val="1"/>
      <w:marLeft w:val="0"/>
      <w:marRight w:val="0"/>
      <w:marTop w:val="0"/>
      <w:marBottom w:val="0"/>
      <w:divBdr>
        <w:top w:val="none" w:sz="0" w:space="0" w:color="auto"/>
        <w:left w:val="none" w:sz="0" w:space="0" w:color="auto"/>
        <w:bottom w:val="none" w:sz="0" w:space="0" w:color="auto"/>
        <w:right w:val="none" w:sz="0" w:space="0" w:color="auto"/>
      </w:divBdr>
    </w:div>
    <w:div w:id="483132151">
      <w:bodyDiv w:val="1"/>
      <w:marLeft w:val="0"/>
      <w:marRight w:val="0"/>
      <w:marTop w:val="0"/>
      <w:marBottom w:val="0"/>
      <w:divBdr>
        <w:top w:val="none" w:sz="0" w:space="0" w:color="auto"/>
        <w:left w:val="none" w:sz="0" w:space="0" w:color="auto"/>
        <w:bottom w:val="none" w:sz="0" w:space="0" w:color="auto"/>
        <w:right w:val="none" w:sz="0" w:space="0" w:color="auto"/>
      </w:divBdr>
    </w:div>
    <w:div w:id="483398441">
      <w:bodyDiv w:val="1"/>
      <w:marLeft w:val="0"/>
      <w:marRight w:val="0"/>
      <w:marTop w:val="0"/>
      <w:marBottom w:val="0"/>
      <w:divBdr>
        <w:top w:val="none" w:sz="0" w:space="0" w:color="auto"/>
        <w:left w:val="none" w:sz="0" w:space="0" w:color="auto"/>
        <w:bottom w:val="none" w:sz="0" w:space="0" w:color="auto"/>
        <w:right w:val="none" w:sz="0" w:space="0" w:color="auto"/>
      </w:divBdr>
    </w:div>
    <w:div w:id="485054221">
      <w:bodyDiv w:val="1"/>
      <w:marLeft w:val="0"/>
      <w:marRight w:val="0"/>
      <w:marTop w:val="0"/>
      <w:marBottom w:val="0"/>
      <w:divBdr>
        <w:top w:val="none" w:sz="0" w:space="0" w:color="auto"/>
        <w:left w:val="none" w:sz="0" w:space="0" w:color="auto"/>
        <w:bottom w:val="none" w:sz="0" w:space="0" w:color="auto"/>
        <w:right w:val="none" w:sz="0" w:space="0" w:color="auto"/>
      </w:divBdr>
    </w:div>
    <w:div w:id="485711048">
      <w:bodyDiv w:val="1"/>
      <w:marLeft w:val="0"/>
      <w:marRight w:val="0"/>
      <w:marTop w:val="0"/>
      <w:marBottom w:val="0"/>
      <w:divBdr>
        <w:top w:val="none" w:sz="0" w:space="0" w:color="auto"/>
        <w:left w:val="none" w:sz="0" w:space="0" w:color="auto"/>
        <w:bottom w:val="none" w:sz="0" w:space="0" w:color="auto"/>
        <w:right w:val="none" w:sz="0" w:space="0" w:color="auto"/>
      </w:divBdr>
    </w:div>
    <w:div w:id="488448664">
      <w:bodyDiv w:val="1"/>
      <w:marLeft w:val="0"/>
      <w:marRight w:val="0"/>
      <w:marTop w:val="0"/>
      <w:marBottom w:val="0"/>
      <w:divBdr>
        <w:top w:val="none" w:sz="0" w:space="0" w:color="auto"/>
        <w:left w:val="none" w:sz="0" w:space="0" w:color="auto"/>
        <w:bottom w:val="none" w:sz="0" w:space="0" w:color="auto"/>
        <w:right w:val="none" w:sz="0" w:space="0" w:color="auto"/>
      </w:divBdr>
    </w:div>
    <w:div w:id="489105986">
      <w:bodyDiv w:val="1"/>
      <w:marLeft w:val="0"/>
      <w:marRight w:val="0"/>
      <w:marTop w:val="0"/>
      <w:marBottom w:val="0"/>
      <w:divBdr>
        <w:top w:val="none" w:sz="0" w:space="0" w:color="auto"/>
        <w:left w:val="none" w:sz="0" w:space="0" w:color="auto"/>
        <w:bottom w:val="none" w:sz="0" w:space="0" w:color="auto"/>
        <w:right w:val="none" w:sz="0" w:space="0" w:color="auto"/>
      </w:divBdr>
    </w:div>
    <w:div w:id="489561632">
      <w:bodyDiv w:val="1"/>
      <w:marLeft w:val="0"/>
      <w:marRight w:val="0"/>
      <w:marTop w:val="0"/>
      <w:marBottom w:val="0"/>
      <w:divBdr>
        <w:top w:val="none" w:sz="0" w:space="0" w:color="auto"/>
        <w:left w:val="none" w:sz="0" w:space="0" w:color="auto"/>
        <w:bottom w:val="none" w:sz="0" w:space="0" w:color="auto"/>
        <w:right w:val="none" w:sz="0" w:space="0" w:color="auto"/>
      </w:divBdr>
    </w:div>
    <w:div w:id="492572364">
      <w:bodyDiv w:val="1"/>
      <w:marLeft w:val="0"/>
      <w:marRight w:val="0"/>
      <w:marTop w:val="0"/>
      <w:marBottom w:val="0"/>
      <w:divBdr>
        <w:top w:val="none" w:sz="0" w:space="0" w:color="auto"/>
        <w:left w:val="none" w:sz="0" w:space="0" w:color="auto"/>
        <w:bottom w:val="none" w:sz="0" w:space="0" w:color="auto"/>
        <w:right w:val="none" w:sz="0" w:space="0" w:color="auto"/>
      </w:divBdr>
    </w:div>
    <w:div w:id="500395310">
      <w:bodyDiv w:val="1"/>
      <w:marLeft w:val="0"/>
      <w:marRight w:val="0"/>
      <w:marTop w:val="0"/>
      <w:marBottom w:val="0"/>
      <w:divBdr>
        <w:top w:val="none" w:sz="0" w:space="0" w:color="auto"/>
        <w:left w:val="none" w:sz="0" w:space="0" w:color="auto"/>
        <w:bottom w:val="none" w:sz="0" w:space="0" w:color="auto"/>
        <w:right w:val="none" w:sz="0" w:space="0" w:color="auto"/>
      </w:divBdr>
    </w:div>
    <w:div w:id="504706722">
      <w:bodyDiv w:val="1"/>
      <w:marLeft w:val="0"/>
      <w:marRight w:val="0"/>
      <w:marTop w:val="0"/>
      <w:marBottom w:val="0"/>
      <w:divBdr>
        <w:top w:val="none" w:sz="0" w:space="0" w:color="auto"/>
        <w:left w:val="none" w:sz="0" w:space="0" w:color="auto"/>
        <w:bottom w:val="none" w:sz="0" w:space="0" w:color="auto"/>
        <w:right w:val="none" w:sz="0" w:space="0" w:color="auto"/>
      </w:divBdr>
    </w:div>
    <w:div w:id="506598295">
      <w:bodyDiv w:val="1"/>
      <w:marLeft w:val="0"/>
      <w:marRight w:val="0"/>
      <w:marTop w:val="0"/>
      <w:marBottom w:val="0"/>
      <w:divBdr>
        <w:top w:val="none" w:sz="0" w:space="0" w:color="auto"/>
        <w:left w:val="none" w:sz="0" w:space="0" w:color="auto"/>
        <w:bottom w:val="none" w:sz="0" w:space="0" w:color="auto"/>
        <w:right w:val="none" w:sz="0" w:space="0" w:color="auto"/>
      </w:divBdr>
    </w:div>
    <w:div w:id="508370647">
      <w:bodyDiv w:val="1"/>
      <w:marLeft w:val="0"/>
      <w:marRight w:val="0"/>
      <w:marTop w:val="0"/>
      <w:marBottom w:val="0"/>
      <w:divBdr>
        <w:top w:val="none" w:sz="0" w:space="0" w:color="auto"/>
        <w:left w:val="none" w:sz="0" w:space="0" w:color="auto"/>
        <w:bottom w:val="none" w:sz="0" w:space="0" w:color="auto"/>
        <w:right w:val="none" w:sz="0" w:space="0" w:color="auto"/>
      </w:divBdr>
    </w:div>
    <w:div w:id="508756752">
      <w:bodyDiv w:val="1"/>
      <w:marLeft w:val="0"/>
      <w:marRight w:val="0"/>
      <w:marTop w:val="0"/>
      <w:marBottom w:val="0"/>
      <w:divBdr>
        <w:top w:val="none" w:sz="0" w:space="0" w:color="auto"/>
        <w:left w:val="none" w:sz="0" w:space="0" w:color="auto"/>
        <w:bottom w:val="none" w:sz="0" w:space="0" w:color="auto"/>
        <w:right w:val="none" w:sz="0" w:space="0" w:color="auto"/>
      </w:divBdr>
    </w:div>
    <w:div w:id="509222992">
      <w:bodyDiv w:val="1"/>
      <w:marLeft w:val="0"/>
      <w:marRight w:val="0"/>
      <w:marTop w:val="0"/>
      <w:marBottom w:val="0"/>
      <w:divBdr>
        <w:top w:val="none" w:sz="0" w:space="0" w:color="auto"/>
        <w:left w:val="none" w:sz="0" w:space="0" w:color="auto"/>
        <w:bottom w:val="none" w:sz="0" w:space="0" w:color="auto"/>
        <w:right w:val="none" w:sz="0" w:space="0" w:color="auto"/>
      </w:divBdr>
    </w:div>
    <w:div w:id="512450964">
      <w:bodyDiv w:val="1"/>
      <w:marLeft w:val="0"/>
      <w:marRight w:val="0"/>
      <w:marTop w:val="0"/>
      <w:marBottom w:val="0"/>
      <w:divBdr>
        <w:top w:val="none" w:sz="0" w:space="0" w:color="auto"/>
        <w:left w:val="none" w:sz="0" w:space="0" w:color="auto"/>
        <w:bottom w:val="none" w:sz="0" w:space="0" w:color="auto"/>
        <w:right w:val="none" w:sz="0" w:space="0" w:color="auto"/>
      </w:divBdr>
    </w:div>
    <w:div w:id="513305003">
      <w:bodyDiv w:val="1"/>
      <w:marLeft w:val="0"/>
      <w:marRight w:val="0"/>
      <w:marTop w:val="0"/>
      <w:marBottom w:val="0"/>
      <w:divBdr>
        <w:top w:val="none" w:sz="0" w:space="0" w:color="auto"/>
        <w:left w:val="none" w:sz="0" w:space="0" w:color="auto"/>
        <w:bottom w:val="none" w:sz="0" w:space="0" w:color="auto"/>
        <w:right w:val="none" w:sz="0" w:space="0" w:color="auto"/>
      </w:divBdr>
    </w:div>
    <w:div w:id="515847055">
      <w:bodyDiv w:val="1"/>
      <w:marLeft w:val="0"/>
      <w:marRight w:val="0"/>
      <w:marTop w:val="0"/>
      <w:marBottom w:val="0"/>
      <w:divBdr>
        <w:top w:val="none" w:sz="0" w:space="0" w:color="auto"/>
        <w:left w:val="none" w:sz="0" w:space="0" w:color="auto"/>
        <w:bottom w:val="none" w:sz="0" w:space="0" w:color="auto"/>
        <w:right w:val="none" w:sz="0" w:space="0" w:color="auto"/>
      </w:divBdr>
    </w:div>
    <w:div w:id="517501549">
      <w:bodyDiv w:val="1"/>
      <w:marLeft w:val="0"/>
      <w:marRight w:val="0"/>
      <w:marTop w:val="0"/>
      <w:marBottom w:val="0"/>
      <w:divBdr>
        <w:top w:val="none" w:sz="0" w:space="0" w:color="auto"/>
        <w:left w:val="none" w:sz="0" w:space="0" w:color="auto"/>
        <w:bottom w:val="none" w:sz="0" w:space="0" w:color="auto"/>
        <w:right w:val="none" w:sz="0" w:space="0" w:color="auto"/>
      </w:divBdr>
    </w:div>
    <w:div w:id="518783221">
      <w:bodyDiv w:val="1"/>
      <w:marLeft w:val="0"/>
      <w:marRight w:val="0"/>
      <w:marTop w:val="0"/>
      <w:marBottom w:val="0"/>
      <w:divBdr>
        <w:top w:val="none" w:sz="0" w:space="0" w:color="auto"/>
        <w:left w:val="none" w:sz="0" w:space="0" w:color="auto"/>
        <w:bottom w:val="none" w:sz="0" w:space="0" w:color="auto"/>
        <w:right w:val="none" w:sz="0" w:space="0" w:color="auto"/>
      </w:divBdr>
    </w:div>
    <w:div w:id="523983047">
      <w:bodyDiv w:val="1"/>
      <w:marLeft w:val="0"/>
      <w:marRight w:val="0"/>
      <w:marTop w:val="0"/>
      <w:marBottom w:val="0"/>
      <w:divBdr>
        <w:top w:val="none" w:sz="0" w:space="0" w:color="auto"/>
        <w:left w:val="none" w:sz="0" w:space="0" w:color="auto"/>
        <w:bottom w:val="none" w:sz="0" w:space="0" w:color="auto"/>
        <w:right w:val="none" w:sz="0" w:space="0" w:color="auto"/>
      </w:divBdr>
    </w:div>
    <w:div w:id="524176420">
      <w:bodyDiv w:val="1"/>
      <w:marLeft w:val="0"/>
      <w:marRight w:val="0"/>
      <w:marTop w:val="0"/>
      <w:marBottom w:val="0"/>
      <w:divBdr>
        <w:top w:val="none" w:sz="0" w:space="0" w:color="auto"/>
        <w:left w:val="none" w:sz="0" w:space="0" w:color="auto"/>
        <w:bottom w:val="none" w:sz="0" w:space="0" w:color="auto"/>
        <w:right w:val="none" w:sz="0" w:space="0" w:color="auto"/>
      </w:divBdr>
    </w:div>
    <w:div w:id="529992853">
      <w:bodyDiv w:val="1"/>
      <w:marLeft w:val="0"/>
      <w:marRight w:val="0"/>
      <w:marTop w:val="0"/>
      <w:marBottom w:val="0"/>
      <w:divBdr>
        <w:top w:val="none" w:sz="0" w:space="0" w:color="auto"/>
        <w:left w:val="none" w:sz="0" w:space="0" w:color="auto"/>
        <w:bottom w:val="none" w:sz="0" w:space="0" w:color="auto"/>
        <w:right w:val="none" w:sz="0" w:space="0" w:color="auto"/>
      </w:divBdr>
    </w:div>
    <w:div w:id="532037017">
      <w:bodyDiv w:val="1"/>
      <w:marLeft w:val="0"/>
      <w:marRight w:val="0"/>
      <w:marTop w:val="0"/>
      <w:marBottom w:val="0"/>
      <w:divBdr>
        <w:top w:val="none" w:sz="0" w:space="0" w:color="auto"/>
        <w:left w:val="none" w:sz="0" w:space="0" w:color="auto"/>
        <w:bottom w:val="none" w:sz="0" w:space="0" w:color="auto"/>
        <w:right w:val="none" w:sz="0" w:space="0" w:color="auto"/>
      </w:divBdr>
    </w:div>
    <w:div w:id="537357946">
      <w:bodyDiv w:val="1"/>
      <w:marLeft w:val="0"/>
      <w:marRight w:val="0"/>
      <w:marTop w:val="0"/>
      <w:marBottom w:val="0"/>
      <w:divBdr>
        <w:top w:val="none" w:sz="0" w:space="0" w:color="auto"/>
        <w:left w:val="none" w:sz="0" w:space="0" w:color="auto"/>
        <w:bottom w:val="none" w:sz="0" w:space="0" w:color="auto"/>
        <w:right w:val="none" w:sz="0" w:space="0" w:color="auto"/>
      </w:divBdr>
    </w:div>
    <w:div w:id="554317705">
      <w:bodyDiv w:val="1"/>
      <w:marLeft w:val="0"/>
      <w:marRight w:val="0"/>
      <w:marTop w:val="0"/>
      <w:marBottom w:val="0"/>
      <w:divBdr>
        <w:top w:val="none" w:sz="0" w:space="0" w:color="auto"/>
        <w:left w:val="none" w:sz="0" w:space="0" w:color="auto"/>
        <w:bottom w:val="none" w:sz="0" w:space="0" w:color="auto"/>
        <w:right w:val="none" w:sz="0" w:space="0" w:color="auto"/>
      </w:divBdr>
    </w:div>
    <w:div w:id="563950839">
      <w:bodyDiv w:val="1"/>
      <w:marLeft w:val="0"/>
      <w:marRight w:val="0"/>
      <w:marTop w:val="0"/>
      <w:marBottom w:val="0"/>
      <w:divBdr>
        <w:top w:val="none" w:sz="0" w:space="0" w:color="auto"/>
        <w:left w:val="none" w:sz="0" w:space="0" w:color="auto"/>
        <w:bottom w:val="none" w:sz="0" w:space="0" w:color="auto"/>
        <w:right w:val="none" w:sz="0" w:space="0" w:color="auto"/>
      </w:divBdr>
    </w:div>
    <w:div w:id="567304113">
      <w:bodyDiv w:val="1"/>
      <w:marLeft w:val="0"/>
      <w:marRight w:val="0"/>
      <w:marTop w:val="0"/>
      <w:marBottom w:val="0"/>
      <w:divBdr>
        <w:top w:val="none" w:sz="0" w:space="0" w:color="auto"/>
        <w:left w:val="none" w:sz="0" w:space="0" w:color="auto"/>
        <w:bottom w:val="none" w:sz="0" w:space="0" w:color="auto"/>
        <w:right w:val="none" w:sz="0" w:space="0" w:color="auto"/>
      </w:divBdr>
    </w:div>
    <w:div w:id="570046074">
      <w:bodyDiv w:val="1"/>
      <w:marLeft w:val="0"/>
      <w:marRight w:val="0"/>
      <w:marTop w:val="0"/>
      <w:marBottom w:val="0"/>
      <w:divBdr>
        <w:top w:val="none" w:sz="0" w:space="0" w:color="auto"/>
        <w:left w:val="none" w:sz="0" w:space="0" w:color="auto"/>
        <w:bottom w:val="none" w:sz="0" w:space="0" w:color="auto"/>
        <w:right w:val="none" w:sz="0" w:space="0" w:color="auto"/>
      </w:divBdr>
    </w:div>
    <w:div w:id="571622812">
      <w:bodyDiv w:val="1"/>
      <w:marLeft w:val="0"/>
      <w:marRight w:val="0"/>
      <w:marTop w:val="0"/>
      <w:marBottom w:val="0"/>
      <w:divBdr>
        <w:top w:val="none" w:sz="0" w:space="0" w:color="auto"/>
        <w:left w:val="none" w:sz="0" w:space="0" w:color="auto"/>
        <w:bottom w:val="none" w:sz="0" w:space="0" w:color="auto"/>
        <w:right w:val="none" w:sz="0" w:space="0" w:color="auto"/>
      </w:divBdr>
    </w:div>
    <w:div w:id="574819836">
      <w:bodyDiv w:val="1"/>
      <w:marLeft w:val="0"/>
      <w:marRight w:val="0"/>
      <w:marTop w:val="0"/>
      <w:marBottom w:val="0"/>
      <w:divBdr>
        <w:top w:val="none" w:sz="0" w:space="0" w:color="auto"/>
        <w:left w:val="none" w:sz="0" w:space="0" w:color="auto"/>
        <w:bottom w:val="none" w:sz="0" w:space="0" w:color="auto"/>
        <w:right w:val="none" w:sz="0" w:space="0" w:color="auto"/>
      </w:divBdr>
    </w:div>
    <w:div w:id="578637451">
      <w:bodyDiv w:val="1"/>
      <w:marLeft w:val="0"/>
      <w:marRight w:val="0"/>
      <w:marTop w:val="0"/>
      <w:marBottom w:val="0"/>
      <w:divBdr>
        <w:top w:val="none" w:sz="0" w:space="0" w:color="auto"/>
        <w:left w:val="none" w:sz="0" w:space="0" w:color="auto"/>
        <w:bottom w:val="none" w:sz="0" w:space="0" w:color="auto"/>
        <w:right w:val="none" w:sz="0" w:space="0" w:color="auto"/>
      </w:divBdr>
    </w:div>
    <w:div w:id="579799868">
      <w:bodyDiv w:val="1"/>
      <w:marLeft w:val="0"/>
      <w:marRight w:val="0"/>
      <w:marTop w:val="0"/>
      <w:marBottom w:val="0"/>
      <w:divBdr>
        <w:top w:val="none" w:sz="0" w:space="0" w:color="auto"/>
        <w:left w:val="none" w:sz="0" w:space="0" w:color="auto"/>
        <w:bottom w:val="none" w:sz="0" w:space="0" w:color="auto"/>
        <w:right w:val="none" w:sz="0" w:space="0" w:color="auto"/>
      </w:divBdr>
    </w:div>
    <w:div w:id="586504648">
      <w:bodyDiv w:val="1"/>
      <w:marLeft w:val="0"/>
      <w:marRight w:val="0"/>
      <w:marTop w:val="0"/>
      <w:marBottom w:val="0"/>
      <w:divBdr>
        <w:top w:val="none" w:sz="0" w:space="0" w:color="auto"/>
        <w:left w:val="none" w:sz="0" w:space="0" w:color="auto"/>
        <w:bottom w:val="none" w:sz="0" w:space="0" w:color="auto"/>
        <w:right w:val="none" w:sz="0" w:space="0" w:color="auto"/>
      </w:divBdr>
    </w:div>
    <w:div w:id="587809593">
      <w:bodyDiv w:val="1"/>
      <w:marLeft w:val="0"/>
      <w:marRight w:val="0"/>
      <w:marTop w:val="0"/>
      <w:marBottom w:val="0"/>
      <w:divBdr>
        <w:top w:val="none" w:sz="0" w:space="0" w:color="auto"/>
        <w:left w:val="none" w:sz="0" w:space="0" w:color="auto"/>
        <w:bottom w:val="none" w:sz="0" w:space="0" w:color="auto"/>
        <w:right w:val="none" w:sz="0" w:space="0" w:color="auto"/>
      </w:divBdr>
    </w:div>
    <w:div w:id="593779341">
      <w:bodyDiv w:val="1"/>
      <w:marLeft w:val="0"/>
      <w:marRight w:val="0"/>
      <w:marTop w:val="0"/>
      <w:marBottom w:val="0"/>
      <w:divBdr>
        <w:top w:val="none" w:sz="0" w:space="0" w:color="auto"/>
        <w:left w:val="none" w:sz="0" w:space="0" w:color="auto"/>
        <w:bottom w:val="none" w:sz="0" w:space="0" w:color="auto"/>
        <w:right w:val="none" w:sz="0" w:space="0" w:color="auto"/>
      </w:divBdr>
    </w:div>
    <w:div w:id="594939462">
      <w:bodyDiv w:val="1"/>
      <w:marLeft w:val="0"/>
      <w:marRight w:val="0"/>
      <w:marTop w:val="0"/>
      <w:marBottom w:val="0"/>
      <w:divBdr>
        <w:top w:val="none" w:sz="0" w:space="0" w:color="auto"/>
        <w:left w:val="none" w:sz="0" w:space="0" w:color="auto"/>
        <w:bottom w:val="none" w:sz="0" w:space="0" w:color="auto"/>
        <w:right w:val="none" w:sz="0" w:space="0" w:color="auto"/>
      </w:divBdr>
    </w:div>
    <w:div w:id="603877985">
      <w:bodyDiv w:val="1"/>
      <w:marLeft w:val="0"/>
      <w:marRight w:val="0"/>
      <w:marTop w:val="0"/>
      <w:marBottom w:val="0"/>
      <w:divBdr>
        <w:top w:val="none" w:sz="0" w:space="0" w:color="auto"/>
        <w:left w:val="none" w:sz="0" w:space="0" w:color="auto"/>
        <w:bottom w:val="none" w:sz="0" w:space="0" w:color="auto"/>
        <w:right w:val="none" w:sz="0" w:space="0" w:color="auto"/>
      </w:divBdr>
    </w:div>
    <w:div w:id="609778045">
      <w:bodyDiv w:val="1"/>
      <w:marLeft w:val="0"/>
      <w:marRight w:val="0"/>
      <w:marTop w:val="0"/>
      <w:marBottom w:val="0"/>
      <w:divBdr>
        <w:top w:val="none" w:sz="0" w:space="0" w:color="auto"/>
        <w:left w:val="none" w:sz="0" w:space="0" w:color="auto"/>
        <w:bottom w:val="none" w:sz="0" w:space="0" w:color="auto"/>
        <w:right w:val="none" w:sz="0" w:space="0" w:color="auto"/>
      </w:divBdr>
    </w:div>
    <w:div w:id="610471976">
      <w:bodyDiv w:val="1"/>
      <w:marLeft w:val="0"/>
      <w:marRight w:val="0"/>
      <w:marTop w:val="0"/>
      <w:marBottom w:val="0"/>
      <w:divBdr>
        <w:top w:val="none" w:sz="0" w:space="0" w:color="auto"/>
        <w:left w:val="none" w:sz="0" w:space="0" w:color="auto"/>
        <w:bottom w:val="none" w:sz="0" w:space="0" w:color="auto"/>
        <w:right w:val="none" w:sz="0" w:space="0" w:color="auto"/>
      </w:divBdr>
    </w:div>
    <w:div w:id="610478938">
      <w:bodyDiv w:val="1"/>
      <w:marLeft w:val="0"/>
      <w:marRight w:val="0"/>
      <w:marTop w:val="0"/>
      <w:marBottom w:val="0"/>
      <w:divBdr>
        <w:top w:val="none" w:sz="0" w:space="0" w:color="auto"/>
        <w:left w:val="none" w:sz="0" w:space="0" w:color="auto"/>
        <w:bottom w:val="none" w:sz="0" w:space="0" w:color="auto"/>
        <w:right w:val="none" w:sz="0" w:space="0" w:color="auto"/>
      </w:divBdr>
    </w:div>
    <w:div w:id="610626187">
      <w:bodyDiv w:val="1"/>
      <w:marLeft w:val="0"/>
      <w:marRight w:val="0"/>
      <w:marTop w:val="0"/>
      <w:marBottom w:val="0"/>
      <w:divBdr>
        <w:top w:val="none" w:sz="0" w:space="0" w:color="auto"/>
        <w:left w:val="none" w:sz="0" w:space="0" w:color="auto"/>
        <w:bottom w:val="none" w:sz="0" w:space="0" w:color="auto"/>
        <w:right w:val="none" w:sz="0" w:space="0" w:color="auto"/>
      </w:divBdr>
    </w:div>
    <w:div w:id="610668681">
      <w:bodyDiv w:val="1"/>
      <w:marLeft w:val="0"/>
      <w:marRight w:val="0"/>
      <w:marTop w:val="0"/>
      <w:marBottom w:val="0"/>
      <w:divBdr>
        <w:top w:val="none" w:sz="0" w:space="0" w:color="auto"/>
        <w:left w:val="none" w:sz="0" w:space="0" w:color="auto"/>
        <w:bottom w:val="none" w:sz="0" w:space="0" w:color="auto"/>
        <w:right w:val="none" w:sz="0" w:space="0" w:color="auto"/>
      </w:divBdr>
    </w:div>
    <w:div w:id="610818089">
      <w:bodyDiv w:val="1"/>
      <w:marLeft w:val="0"/>
      <w:marRight w:val="0"/>
      <w:marTop w:val="0"/>
      <w:marBottom w:val="0"/>
      <w:divBdr>
        <w:top w:val="none" w:sz="0" w:space="0" w:color="auto"/>
        <w:left w:val="none" w:sz="0" w:space="0" w:color="auto"/>
        <w:bottom w:val="none" w:sz="0" w:space="0" w:color="auto"/>
        <w:right w:val="none" w:sz="0" w:space="0" w:color="auto"/>
      </w:divBdr>
    </w:div>
    <w:div w:id="613055579">
      <w:bodyDiv w:val="1"/>
      <w:marLeft w:val="0"/>
      <w:marRight w:val="0"/>
      <w:marTop w:val="0"/>
      <w:marBottom w:val="0"/>
      <w:divBdr>
        <w:top w:val="none" w:sz="0" w:space="0" w:color="auto"/>
        <w:left w:val="none" w:sz="0" w:space="0" w:color="auto"/>
        <w:bottom w:val="none" w:sz="0" w:space="0" w:color="auto"/>
        <w:right w:val="none" w:sz="0" w:space="0" w:color="auto"/>
      </w:divBdr>
    </w:div>
    <w:div w:id="619800361">
      <w:bodyDiv w:val="1"/>
      <w:marLeft w:val="0"/>
      <w:marRight w:val="0"/>
      <w:marTop w:val="0"/>
      <w:marBottom w:val="0"/>
      <w:divBdr>
        <w:top w:val="none" w:sz="0" w:space="0" w:color="auto"/>
        <w:left w:val="none" w:sz="0" w:space="0" w:color="auto"/>
        <w:bottom w:val="none" w:sz="0" w:space="0" w:color="auto"/>
        <w:right w:val="none" w:sz="0" w:space="0" w:color="auto"/>
      </w:divBdr>
    </w:div>
    <w:div w:id="632910828">
      <w:bodyDiv w:val="1"/>
      <w:marLeft w:val="0"/>
      <w:marRight w:val="0"/>
      <w:marTop w:val="0"/>
      <w:marBottom w:val="0"/>
      <w:divBdr>
        <w:top w:val="none" w:sz="0" w:space="0" w:color="auto"/>
        <w:left w:val="none" w:sz="0" w:space="0" w:color="auto"/>
        <w:bottom w:val="none" w:sz="0" w:space="0" w:color="auto"/>
        <w:right w:val="none" w:sz="0" w:space="0" w:color="auto"/>
      </w:divBdr>
    </w:div>
    <w:div w:id="633409087">
      <w:bodyDiv w:val="1"/>
      <w:marLeft w:val="0"/>
      <w:marRight w:val="0"/>
      <w:marTop w:val="0"/>
      <w:marBottom w:val="0"/>
      <w:divBdr>
        <w:top w:val="none" w:sz="0" w:space="0" w:color="auto"/>
        <w:left w:val="none" w:sz="0" w:space="0" w:color="auto"/>
        <w:bottom w:val="none" w:sz="0" w:space="0" w:color="auto"/>
        <w:right w:val="none" w:sz="0" w:space="0" w:color="auto"/>
      </w:divBdr>
    </w:div>
    <w:div w:id="634876744">
      <w:bodyDiv w:val="1"/>
      <w:marLeft w:val="0"/>
      <w:marRight w:val="0"/>
      <w:marTop w:val="0"/>
      <w:marBottom w:val="0"/>
      <w:divBdr>
        <w:top w:val="none" w:sz="0" w:space="0" w:color="auto"/>
        <w:left w:val="none" w:sz="0" w:space="0" w:color="auto"/>
        <w:bottom w:val="none" w:sz="0" w:space="0" w:color="auto"/>
        <w:right w:val="none" w:sz="0" w:space="0" w:color="auto"/>
      </w:divBdr>
    </w:div>
    <w:div w:id="638076759">
      <w:bodyDiv w:val="1"/>
      <w:marLeft w:val="0"/>
      <w:marRight w:val="0"/>
      <w:marTop w:val="0"/>
      <w:marBottom w:val="0"/>
      <w:divBdr>
        <w:top w:val="none" w:sz="0" w:space="0" w:color="auto"/>
        <w:left w:val="none" w:sz="0" w:space="0" w:color="auto"/>
        <w:bottom w:val="none" w:sz="0" w:space="0" w:color="auto"/>
        <w:right w:val="none" w:sz="0" w:space="0" w:color="auto"/>
      </w:divBdr>
    </w:div>
    <w:div w:id="642269729">
      <w:bodyDiv w:val="1"/>
      <w:marLeft w:val="0"/>
      <w:marRight w:val="0"/>
      <w:marTop w:val="0"/>
      <w:marBottom w:val="0"/>
      <w:divBdr>
        <w:top w:val="none" w:sz="0" w:space="0" w:color="auto"/>
        <w:left w:val="none" w:sz="0" w:space="0" w:color="auto"/>
        <w:bottom w:val="none" w:sz="0" w:space="0" w:color="auto"/>
        <w:right w:val="none" w:sz="0" w:space="0" w:color="auto"/>
      </w:divBdr>
    </w:div>
    <w:div w:id="645475729">
      <w:bodyDiv w:val="1"/>
      <w:marLeft w:val="0"/>
      <w:marRight w:val="0"/>
      <w:marTop w:val="0"/>
      <w:marBottom w:val="0"/>
      <w:divBdr>
        <w:top w:val="none" w:sz="0" w:space="0" w:color="auto"/>
        <w:left w:val="none" w:sz="0" w:space="0" w:color="auto"/>
        <w:bottom w:val="none" w:sz="0" w:space="0" w:color="auto"/>
        <w:right w:val="none" w:sz="0" w:space="0" w:color="auto"/>
      </w:divBdr>
    </w:div>
    <w:div w:id="647317725">
      <w:bodyDiv w:val="1"/>
      <w:marLeft w:val="0"/>
      <w:marRight w:val="0"/>
      <w:marTop w:val="0"/>
      <w:marBottom w:val="0"/>
      <w:divBdr>
        <w:top w:val="none" w:sz="0" w:space="0" w:color="auto"/>
        <w:left w:val="none" w:sz="0" w:space="0" w:color="auto"/>
        <w:bottom w:val="none" w:sz="0" w:space="0" w:color="auto"/>
        <w:right w:val="none" w:sz="0" w:space="0" w:color="auto"/>
      </w:divBdr>
    </w:div>
    <w:div w:id="651639682">
      <w:bodyDiv w:val="1"/>
      <w:marLeft w:val="0"/>
      <w:marRight w:val="0"/>
      <w:marTop w:val="0"/>
      <w:marBottom w:val="0"/>
      <w:divBdr>
        <w:top w:val="none" w:sz="0" w:space="0" w:color="auto"/>
        <w:left w:val="none" w:sz="0" w:space="0" w:color="auto"/>
        <w:bottom w:val="none" w:sz="0" w:space="0" w:color="auto"/>
        <w:right w:val="none" w:sz="0" w:space="0" w:color="auto"/>
      </w:divBdr>
    </w:div>
    <w:div w:id="651720666">
      <w:bodyDiv w:val="1"/>
      <w:marLeft w:val="0"/>
      <w:marRight w:val="0"/>
      <w:marTop w:val="0"/>
      <w:marBottom w:val="0"/>
      <w:divBdr>
        <w:top w:val="none" w:sz="0" w:space="0" w:color="auto"/>
        <w:left w:val="none" w:sz="0" w:space="0" w:color="auto"/>
        <w:bottom w:val="none" w:sz="0" w:space="0" w:color="auto"/>
        <w:right w:val="none" w:sz="0" w:space="0" w:color="auto"/>
      </w:divBdr>
    </w:div>
    <w:div w:id="653532239">
      <w:bodyDiv w:val="1"/>
      <w:marLeft w:val="0"/>
      <w:marRight w:val="0"/>
      <w:marTop w:val="0"/>
      <w:marBottom w:val="0"/>
      <w:divBdr>
        <w:top w:val="none" w:sz="0" w:space="0" w:color="auto"/>
        <w:left w:val="none" w:sz="0" w:space="0" w:color="auto"/>
        <w:bottom w:val="none" w:sz="0" w:space="0" w:color="auto"/>
        <w:right w:val="none" w:sz="0" w:space="0" w:color="auto"/>
      </w:divBdr>
    </w:div>
    <w:div w:id="653726222">
      <w:bodyDiv w:val="1"/>
      <w:marLeft w:val="0"/>
      <w:marRight w:val="0"/>
      <w:marTop w:val="0"/>
      <w:marBottom w:val="0"/>
      <w:divBdr>
        <w:top w:val="none" w:sz="0" w:space="0" w:color="auto"/>
        <w:left w:val="none" w:sz="0" w:space="0" w:color="auto"/>
        <w:bottom w:val="none" w:sz="0" w:space="0" w:color="auto"/>
        <w:right w:val="none" w:sz="0" w:space="0" w:color="auto"/>
      </w:divBdr>
    </w:div>
    <w:div w:id="654603735">
      <w:bodyDiv w:val="1"/>
      <w:marLeft w:val="0"/>
      <w:marRight w:val="0"/>
      <w:marTop w:val="0"/>
      <w:marBottom w:val="0"/>
      <w:divBdr>
        <w:top w:val="none" w:sz="0" w:space="0" w:color="auto"/>
        <w:left w:val="none" w:sz="0" w:space="0" w:color="auto"/>
        <w:bottom w:val="none" w:sz="0" w:space="0" w:color="auto"/>
        <w:right w:val="none" w:sz="0" w:space="0" w:color="auto"/>
      </w:divBdr>
    </w:div>
    <w:div w:id="658466110">
      <w:bodyDiv w:val="1"/>
      <w:marLeft w:val="0"/>
      <w:marRight w:val="0"/>
      <w:marTop w:val="0"/>
      <w:marBottom w:val="0"/>
      <w:divBdr>
        <w:top w:val="none" w:sz="0" w:space="0" w:color="auto"/>
        <w:left w:val="none" w:sz="0" w:space="0" w:color="auto"/>
        <w:bottom w:val="none" w:sz="0" w:space="0" w:color="auto"/>
        <w:right w:val="none" w:sz="0" w:space="0" w:color="auto"/>
      </w:divBdr>
    </w:div>
    <w:div w:id="666983933">
      <w:bodyDiv w:val="1"/>
      <w:marLeft w:val="0"/>
      <w:marRight w:val="0"/>
      <w:marTop w:val="0"/>
      <w:marBottom w:val="0"/>
      <w:divBdr>
        <w:top w:val="none" w:sz="0" w:space="0" w:color="auto"/>
        <w:left w:val="none" w:sz="0" w:space="0" w:color="auto"/>
        <w:bottom w:val="none" w:sz="0" w:space="0" w:color="auto"/>
        <w:right w:val="none" w:sz="0" w:space="0" w:color="auto"/>
      </w:divBdr>
    </w:div>
    <w:div w:id="678970800">
      <w:bodyDiv w:val="1"/>
      <w:marLeft w:val="0"/>
      <w:marRight w:val="0"/>
      <w:marTop w:val="0"/>
      <w:marBottom w:val="0"/>
      <w:divBdr>
        <w:top w:val="none" w:sz="0" w:space="0" w:color="auto"/>
        <w:left w:val="none" w:sz="0" w:space="0" w:color="auto"/>
        <w:bottom w:val="none" w:sz="0" w:space="0" w:color="auto"/>
        <w:right w:val="none" w:sz="0" w:space="0" w:color="auto"/>
      </w:divBdr>
    </w:div>
    <w:div w:id="683284151">
      <w:bodyDiv w:val="1"/>
      <w:marLeft w:val="0"/>
      <w:marRight w:val="0"/>
      <w:marTop w:val="0"/>
      <w:marBottom w:val="0"/>
      <w:divBdr>
        <w:top w:val="none" w:sz="0" w:space="0" w:color="auto"/>
        <w:left w:val="none" w:sz="0" w:space="0" w:color="auto"/>
        <w:bottom w:val="none" w:sz="0" w:space="0" w:color="auto"/>
        <w:right w:val="none" w:sz="0" w:space="0" w:color="auto"/>
      </w:divBdr>
    </w:div>
    <w:div w:id="691104951">
      <w:bodyDiv w:val="1"/>
      <w:marLeft w:val="0"/>
      <w:marRight w:val="0"/>
      <w:marTop w:val="0"/>
      <w:marBottom w:val="0"/>
      <w:divBdr>
        <w:top w:val="none" w:sz="0" w:space="0" w:color="auto"/>
        <w:left w:val="none" w:sz="0" w:space="0" w:color="auto"/>
        <w:bottom w:val="none" w:sz="0" w:space="0" w:color="auto"/>
        <w:right w:val="none" w:sz="0" w:space="0" w:color="auto"/>
      </w:divBdr>
    </w:div>
    <w:div w:id="695084279">
      <w:bodyDiv w:val="1"/>
      <w:marLeft w:val="0"/>
      <w:marRight w:val="0"/>
      <w:marTop w:val="0"/>
      <w:marBottom w:val="0"/>
      <w:divBdr>
        <w:top w:val="none" w:sz="0" w:space="0" w:color="auto"/>
        <w:left w:val="none" w:sz="0" w:space="0" w:color="auto"/>
        <w:bottom w:val="none" w:sz="0" w:space="0" w:color="auto"/>
        <w:right w:val="none" w:sz="0" w:space="0" w:color="auto"/>
      </w:divBdr>
    </w:div>
    <w:div w:id="696345565">
      <w:bodyDiv w:val="1"/>
      <w:marLeft w:val="0"/>
      <w:marRight w:val="0"/>
      <w:marTop w:val="0"/>
      <w:marBottom w:val="0"/>
      <w:divBdr>
        <w:top w:val="none" w:sz="0" w:space="0" w:color="auto"/>
        <w:left w:val="none" w:sz="0" w:space="0" w:color="auto"/>
        <w:bottom w:val="none" w:sz="0" w:space="0" w:color="auto"/>
        <w:right w:val="none" w:sz="0" w:space="0" w:color="auto"/>
      </w:divBdr>
    </w:div>
    <w:div w:id="697892933">
      <w:bodyDiv w:val="1"/>
      <w:marLeft w:val="0"/>
      <w:marRight w:val="0"/>
      <w:marTop w:val="0"/>
      <w:marBottom w:val="0"/>
      <w:divBdr>
        <w:top w:val="none" w:sz="0" w:space="0" w:color="auto"/>
        <w:left w:val="none" w:sz="0" w:space="0" w:color="auto"/>
        <w:bottom w:val="none" w:sz="0" w:space="0" w:color="auto"/>
        <w:right w:val="none" w:sz="0" w:space="0" w:color="auto"/>
      </w:divBdr>
    </w:div>
    <w:div w:id="700210454">
      <w:bodyDiv w:val="1"/>
      <w:marLeft w:val="0"/>
      <w:marRight w:val="0"/>
      <w:marTop w:val="0"/>
      <w:marBottom w:val="0"/>
      <w:divBdr>
        <w:top w:val="none" w:sz="0" w:space="0" w:color="auto"/>
        <w:left w:val="none" w:sz="0" w:space="0" w:color="auto"/>
        <w:bottom w:val="none" w:sz="0" w:space="0" w:color="auto"/>
        <w:right w:val="none" w:sz="0" w:space="0" w:color="auto"/>
      </w:divBdr>
    </w:div>
    <w:div w:id="708071249">
      <w:bodyDiv w:val="1"/>
      <w:marLeft w:val="0"/>
      <w:marRight w:val="0"/>
      <w:marTop w:val="0"/>
      <w:marBottom w:val="0"/>
      <w:divBdr>
        <w:top w:val="none" w:sz="0" w:space="0" w:color="auto"/>
        <w:left w:val="none" w:sz="0" w:space="0" w:color="auto"/>
        <w:bottom w:val="none" w:sz="0" w:space="0" w:color="auto"/>
        <w:right w:val="none" w:sz="0" w:space="0" w:color="auto"/>
      </w:divBdr>
    </w:div>
    <w:div w:id="712122989">
      <w:bodyDiv w:val="1"/>
      <w:marLeft w:val="0"/>
      <w:marRight w:val="0"/>
      <w:marTop w:val="0"/>
      <w:marBottom w:val="0"/>
      <w:divBdr>
        <w:top w:val="none" w:sz="0" w:space="0" w:color="auto"/>
        <w:left w:val="none" w:sz="0" w:space="0" w:color="auto"/>
        <w:bottom w:val="none" w:sz="0" w:space="0" w:color="auto"/>
        <w:right w:val="none" w:sz="0" w:space="0" w:color="auto"/>
      </w:divBdr>
    </w:div>
    <w:div w:id="712846848">
      <w:bodyDiv w:val="1"/>
      <w:marLeft w:val="0"/>
      <w:marRight w:val="0"/>
      <w:marTop w:val="0"/>
      <w:marBottom w:val="0"/>
      <w:divBdr>
        <w:top w:val="none" w:sz="0" w:space="0" w:color="auto"/>
        <w:left w:val="none" w:sz="0" w:space="0" w:color="auto"/>
        <w:bottom w:val="none" w:sz="0" w:space="0" w:color="auto"/>
        <w:right w:val="none" w:sz="0" w:space="0" w:color="auto"/>
      </w:divBdr>
    </w:div>
    <w:div w:id="713237281">
      <w:bodyDiv w:val="1"/>
      <w:marLeft w:val="0"/>
      <w:marRight w:val="0"/>
      <w:marTop w:val="0"/>
      <w:marBottom w:val="0"/>
      <w:divBdr>
        <w:top w:val="none" w:sz="0" w:space="0" w:color="auto"/>
        <w:left w:val="none" w:sz="0" w:space="0" w:color="auto"/>
        <w:bottom w:val="none" w:sz="0" w:space="0" w:color="auto"/>
        <w:right w:val="none" w:sz="0" w:space="0" w:color="auto"/>
      </w:divBdr>
    </w:div>
    <w:div w:id="715812651">
      <w:bodyDiv w:val="1"/>
      <w:marLeft w:val="0"/>
      <w:marRight w:val="0"/>
      <w:marTop w:val="0"/>
      <w:marBottom w:val="0"/>
      <w:divBdr>
        <w:top w:val="none" w:sz="0" w:space="0" w:color="auto"/>
        <w:left w:val="none" w:sz="0" w:space="0" w:color="auto"/>
        <w:bottom w:val="none" w:sz="0" w:space="0" w:color="auto"/>
        <w:right w:val="none" w:sz="0" w:space="0" w:color="auto"/>
      </w:divBdr>
    </w:div>
    <w:div w:id="728650945">
      <w:bodyDiv w:val="1"/>
      <w:marLeft w:val="0"/>
      <w:marRight w:val="0"/>
      <w:marTop w:val="0"/>
      <w:marBottom w:val="0"/>
      <w:divBdr>
        <w:top w:val="none" w:sz="0" w:space="0" w:color="auto"/>
        <w:left w:val="none" w:sz="0" w:space="0" w:color="auto"/>
        <w:bottom w:val="none" w:sz="0" w:space="0" w:color="auto"/>
        <w:right w:val="none" w:sz="0" w:space="0" w:color="auto"/>
      </w:divBdr>
    </w:div>
    <w:div w:id="731126083">
      <w:bodyDiv w:val="1"/>
      <w:marLeft w:val="0"/>
      <w:marRight w:val="0"/>
      <w:marTop w:val="0"/>
      <w:marBottom w:val="0"/>
      <w:divBdr>
        <w:top w:val="none" w:sz="0" w:space="0" w:color="auto"/>
        <w:left w:val="none" w:sz="0" w:space="0" w:color="auto"/>
        <w:bottom w:val="none" w:sz="0" w:space="0" w:color="auto"/>
        <w:right w:val="none" w:sz="0" w:space="0" w:color="auto"/>
      </w:divBdr>
    </w:div>
    <w:div w:id="736172310">
      <w:bodyDiv w:val="1"/>
      <w:marLeft w:val="0"/>
      <w:marRight w:val="0"/>
      <w:marTop w:val="0"/>
      <w:marBottom w:val="0"/>
      <w:divBdr>
        <w:top w:val="none" w:sz="0" w:space="0" w:color="auto"/>
        <w:left w:val="none" w:sz="0" w:space="0" w:color="auto"/>
        <w:bottom w:val="none" w:sz="0" w:space="0" w:color="auto"/>
        <w:right w:val="none" w:sz="0" w:space="0" w:color="auto"/>
      </w:divBdr>
    </w:div>
    <w:div w:id="738406781">
      <w:bodyDiv w:val="1"/>
      <w:marLeft w:val="0"/>
      <w:marRight w:val="0"/>
      <w:marTop w:val="0"/>
      <w:marBottom w:val="0"/>
      <w:divBdr>
        <w:top w:val="none" w:sz="0" w:space="0" w:color="auto"/>
        <w:left w:val="none" w:sz="0" w:space="0" w:color="auto"/>
        <w:bottom w:val="none" w:sz="0" w:space="0" w:color="auto"/>
        <w:right w:val="none" w:sz="0" w:space="0" w:color="auto"/>
      </w:divBdr>
    </w:div>
    <w:div w:id="738941806">
      <w:bodyDiv w:val="1"/>
      <w:marLeft w:val="0"/>
      <w:marRight w:val="0"/>
      <w:marTop w:val="0"/>
      <w:marBottom w:val="0"/>
      <w:divBdr>
        <w:top w:val="none" w:sz="0" w:space="0" w:color="auto"/>
        <w:left w:val="none" w:sz="0" w:space="0" w:color="auto"/>
        <w:bottom w:val="none" w:sz="0" w:space="0" w:color="auto"/>
        <w:right w:val="none" w:sz="0" w:space="0" w:color="auto"/>
      </w:divBdr>
    </w:div>
    <w:div w:id="743724352">
      <w:bodyDiv w:val="1"/>
      <w:marLeft w:val="0"/>
      <w:marRight w:val="0"/>
      <w:marTop w:val="0"/>
      <w:marBottom w:val="0"/>
      <w:divBdr>
        <w:top w:val="none" w:sz="0" w:space="0" w:color="auto"/>
        <w:left w:val="none" w:sz="0" w:space="0" w:color="auto"/>
        <w:bottom w:val="none" w:sz="0" w:space="0" w:color="auto"/>
        <w:right w:val="none" w:sz="0" w:space="0" w:color="auto"/>
      </w:divBdr>
    </w:div>
    <w:div w:id="744033501">
      <w:bodyDiv w:val="1"/>
      <w:marLeft w:val="0"/>
      <w:marRight w:val="0"/>
      <w:marTop w:val="0"/>
      <w:marBottom w:val="0"/>
      <w:divBdr>
        <w:top w:val="none" w:sz="0" w:space="0" w:color="auto"/>
        <w:left w:val="none" w:sz="0" w:space="0" w:color="auto"/>
        <w:bottom w:val="none" w:sz="0" w:space="0" w:color="auto"/>
        <w:right w:val="none" w:sz="0" w:space="0" w:color="auto"/>
      </w:divBdr>
    </w:div>
    <w:div w:id="752823689">
      <w:bodyDiv w:val="1"/>
      <w:marLeft w:val="0"/>
      <w:marRight w:val="0"/>
      <w:marTop w:val="0"/>
      <w:marBottom w:val="0"/>
      <w:divBdr>
        <w:top w:val="none" w:sz="0" w:space="0" w:color="auto"/>
        <w:left w:val="none" w:sz="0" w:space="0" w:color="auto"/>
        <w:bottom w:val="none" w:sz="0" w:space="0" w:color="auto"/>
        <w:right w:val="none" w:sz="0" w:space="0" w:color="auto"/>
      </w:divBdr>
    </w:div>
    <w:div w:id="754983896">
      <w:bodyDiv w:val="1"/>
      <w:marLeft w:val="0"/>
      <w:marRight w:val="0"/>
      <w:marTop w:val="0"/>
      <w:marBottom w:val="0"/>
      <w:divBdr>
        <w:top w:val="none" w:sz="0" w:space="0" w:color="auto"/>
        <w:left w:val="none" w:sz="0" w:space="0" w:color="auto"/>
        <w:bottom w:val="none" w:sz="0" w:space="0" w:color="auto"/>
        <w:right w:val="none" w:sz="0" w:space="0" w:color="auto"/>
      </w:divBdr>
    </w:div>
    <w:div w:id="757793782">
      <w:bodyDiv w:val="1"/>
      <w:marLeft w:val="0"/>
      <w:marRight w:val="0"/>
      <w:marTop w:val="0"/>
      <w:marBottom w:val="0"/>
      <w:divBdr>
        <w:top w:val="none" w:sz="0" w:space="0" w:color="auto"/>
        <w:left w:val="none" w:sz="0" w:space="0" w:color="auto"/>
        <w:bottom w:val="none" w:sz="0" w:space="0" w:color="auto"/>
        <w:right w:val="none" w:sz="0" w:space="0" w:color="auto"/>
      </w:divBdr>
    </w:div>
    <w:div w:id="760102057">
      <w:bodyDiv w:val="1"/>
      <w:marLeft w:val="0"/>
      <w:marRight w:val="0"/>
      <w:marTop w:val="0"/>
      <w:marBottom w:val="0"/>
      <w:divBdr>
        <w:top w:val="none" w:sz="0" w:space="0" w:color="auto"/>
        <w:left w:val="none" w:sz="0" w:space="0" w:color="auto"/>
        <w:bottom w:val="none" w:sz="0" w:space="0" w:color="auto"/>
        <w:right w:val="none" w:sz="0" w:space="0" w:color="auto"/>
      </w:divBdr>
    </w:div>
    <w:div w:id="769593057">
      <w:bodyDiv w:val="1"/>
      <w:marLeft w:val="0"/>
      <w:marRight w:val="0"/>
      <w:marTop w:val="0"/>
      <w:marBottom w:val="0"/>
      <w:divBdr>
        <w:top w:val="none" w:sz="0" w:space="0" w:color="auto"/>
        <w:left w:val="none" w:sz="0" w:space="0" w:color="auto"/>
        <w:bottom w:val="none" w:sz="0" w:space="0" w:color="auto"/>
        <w:right w:val="none" w:sz="0" w:space="0" w:color="auto"/>
      </w:divBdr>
    </w:div>
    <w:div w:id="773134933">
      <w:bodyDiv w:val="1"/>
      <w:marLeft w:val="0"/>
      <w:marRight w:val="0"/>
      <w:marTop w:val="0"/>
      <w:marBottom w:val="0"/>
      <w:divBdr>
        <w:top w:val="none" w:sz="0" w:space="0" w:color="auto"/>
        <w:left w:val="none" w:sz="0" w:space="0" w:color="auto"/>
        <w:bottom w:val="none" w:sz="0" w:space="0" w:color="auto"/>
        <w:right w:val="none" w:sz="0" w:space="0" w:color="auto"/>
      </w:divBdr>
    </w:div>
    <w:div w:id="774904108">
      <w:bodyDiv w:val="1"/>
      <w:marLeft w:val="0"/>
      <w:marRight w:val="0"/>
      <w:marTop w:val="0"/>
      <w:marBottom w:val="0"/>
      <w:divBdr>
        <w:top w:val="none" w:sz="0" w:space="0" w:color="auto"/>
        <w:left w:val="none" w:sz="0" w:space="0" w:color="auto"/>
        <w:bottom w:val="none" w:sz="0" w:space="0" w:color="auto"/>
        <w:right w:val="none" w:sz="0" w:space="0" w:color="auto"/>
      </w:divBdr>
    </w:div>
    <w:div w:id="775250975">
      <w:bodyDiv w:val="1"/>
      <w:marLeft w:val="0"/>
      <w:marRight w:val="0"/>
      <w:marTop w:val="0"/>
      <w:marBottom w:val="0"/>
      <w:divBdr>
        <w:top w:val="none" w:sz="0" w:space="0" w:color="auto"/>
        <w:left w:val="none" w:sz="0" w:space="0" w:color="auto"/>
        <w:bottom w:val="none" w:sz="0" w:space="0" w:color="auto"/>
        <w:right w:val="none" w:sz="0" w:space="0" w:color="auto"/>
      </w:divBdr>
    </w:div>
    <w:div w:id="775709146">
      <w:bodyDiv w:val="1"/>
      <w:marLeft w:val="0"/>
      <w:marRight w:val="0"/>
      <w:marTop w:val="0"/>
      <w:marBottom w:val="0"/>
      <w:divBdr>
        <w:top w:val="none" w:sz="0" w:space="0" w:color="auto"/>
        <w:left w:val="none" w:sz="0" w:space="0" w:color="auto"/>
        <w:bottom w:val="none" w:sz="0" w:space="0" w:color="auto"/>
        <w:right w:val="none" w:sz="0" w:space="0" w:color="auto"/>
      </w:divBdr>
    </w:div>
    <w:div w:id="779758248">
      <w:bodyDiv w:val="1"/>
      <w:marLeft w:val="0"/>
      <w:marRight w:val="0"/>
      <w:marTop w:val="0"/>
      <w:marBottom w:val="0"/>
      <w:divBdr>
        <w:top w:val="none" w:sz="0" w:space="0" w:color="auto"/>
        <w:left w:val="none" w:sz="0" w:space="0" w:color="auto"/>
        <w:bottom w:val="none" w:sz="0" w:space="0" w:color="auto"/>
        <w:right w:val="none" w:sz="0" w:space="0" w:color="auto"/>
      </w:divBdr>
    </w:div>
    <w:div w:id="782726877">
      <w:bodyDiv w:val="1"/>
      <w:marLeft w:val="0"/>
      <w:marRight w:val="0"/>
      <w:marTop w:val="0"/>
      <w:marBottom w:val="0"/>
      <w:divBdr>
        <w:top w:val="none" w:sz="0" w:space="0" w:color="auto"/>
        <w:left w:val="none" w:sz="0" w:space="0" w:color="auto"/>
        <w:bottom w:val="none" w:sz="0" w:space="0" w:color="auto"/>
        <w:right w:val="none" w:sz="0" w:space="0" w:color="auto"/>
      </w:divBdr>
    </w:div>
    <w:div w:id="783426048">
      <w:bodyDiv w:val="1"/>
      <w:marLeft w:val="0"/>
      <w:marRight w:val="0"/>
      <w:marTop w:val="0"/>
      <w:marBottom w:val="0"/>
      <w:divBdr>
        <w:top w:val="none" w:sz="0" w:space="0" w:color="auto"/>
        <w:left w:val="none" w:sz="0" w:space="0" w:color="auto"/>
        <w:bottom w:val="none" w:sz="0" w:space="0" w:color="auto"/>
        <w:right w:val="none" w:sz="0" w:space="0" w:color="auto"/>
      </w:divBdr>
    </w:div>
    <w:div w:id="791168030">
      <w:bodyDiv w:val="1"/>
      <w:marLeft w:val="0"/>
      <w:marRight w:val="0"/>
      <w:marTop w:val="0"/>
      <w:marBottom w:val="0"/>
      <w:divBdr>
        <w:top w:val="none" w:sz="0" w:space="0" w:color="auto"/>
        <w:left w:val="none" w:sz="0" w:space="0" w:color="auto"/>
        <w:bottom w:val="none" w:sz="0" w:space="0" w:color="auto"/>
        <w:right w:val="none" w:sz="0" w:space="0" w:color="auto"/>
      </w:divBdr>
    </w:div>
    <w:div w:id="792553245">
      <w:bodyDiv w:val="1"/>
      <w:marLeft w:val="0"/>
      <w:marRight w:val="0"/>
      <w:marTop w:val="0"/>
      <w:marBottom w:val="0"/>
      <w:divBdr>
        <w:top w:val="none" w:sz="0" w:space="0" w:color="auto"/>
        <w:left w:val="none" w:sz="0" w:space="0" w:color="auto"/>
        <w:bottom w:val="none" w:sz="0" w:space="0" w:color="auto"/>
        <w:right w:val="none" w:sz="0" w:space="0" w:color="auto"/>
      </w:divBdr>
    </w:div>
    <w:div w:id="795178048">
      <w:bodyDiv w:val="1"/>
      <w:marLeft w:val="0"/>
      <w:marRight w:val="0"/>
      <w:marTop w:val="0"/>
      <w:marBottom w:val="0"/>
      <w:divBdr>
        <w:top w:val="none" w:sz="0" w:space="0" w:color="auto"/>
        <w:left w:val="none" w:sz="0" w:space="0" w:color="auto"/>
        <w:bottom w:val="none" w:sz="0" w:space="0" w:color="auto"/>
        <w:right w:val="none" w:sz="0" w:space="0" w:color="auto"/>
      </w:divBdr>
    </w:div>
    <w:div w:id="797072438">
      <w:bodyDiv w:val="1"/>
      <w:marLeft w:val="0"/>
      <w:marRight w:val="0"/>
      <w:marTop w:val="0"/>
      <w:marBottom w:val="0"/>
      <w:divBdr>
        <w:top w:val="none" w:sz="0" w:space="0" w:color="auto"/>
        <w:left w:val="none" w:sz="0" w:space="0" w:color="auto"/>
        <w:bottom w:val="none" w:sz="0" w:space="0" w:color="auto"/>
        <w:right w:val="none" w:sz="0" w:space="0" w:color="auto"/>
      </w:divBdr>
    </w:div>
    <w:div w:id="801191200">
      <w:bodyDiv w:val="1"/>
      <w:marLeft w:val="0"/>
      <w:marRight w:val="0"/>
      <w:marTop w:val="0"/>
      <w:marBottom w:val="0"/>
      <w:divBdr>
        <w:top w:val="none" w:sz="0" w:space="0" w:color="auto"/>
        <w:left w:val="none" w:sz="0" w:space="0" w:color="auto"/>
        <w:bottom w:val="none" w:sz="0" w:space="0" w:color="auto"/>
        <w:right w:val="none" w:sz="0" w:space="0" w:color="auto"/>
      </w:divBdr>
    </w:div>
    <w:div w:id="801733207">
      <w:bodyDiv w:val="1"/>
      <w:marLeft w:val="0"/>
      <w:marRight w:val="0"/>
      <w:marTop w:val="0"/>
      <w:marBottom w:val="0"/>
      <w:divBdr>
        <w:top w:val="none" w:sz="0" w:space="0" w:color="auto"/>
        <w:left w:val="none" w:sz="0" w:space="0" w:color="auto"/>
        <w:bottom w:val="none" w:sz="0" w:space="0" w:color="auto"/>
        <w:right w:val="none" w:sz="0" w:space="0" w:color="auto"/>
      </w:divBdr>
    </w:div>
    <w:div w:id="802040632">
      <w:bodyDiv w:val="1"/>
      <w:marLeft w:val="0"/>
      <w:marRight w:val="0"/>
      <w:marTop w:val="0"/>
      <w:marBottom w:val="0"/>
      <w:divBdr>
        <w:top w:val="none" w:sz="0" w:space="0" w:color="auto"/>
        <w:left w:val="none" w:sz="0" w:space="0" w:color="auto"/>
        <w:bottom w:val="none" w:sz="0" w:space="0" w:color="auto"/>
        <w:right w:val="none" w:sz="0" w:space="0" w:color="auto"/>
      </w:divBdr>
    </w:div>
    <w:div w:id="804542106">
      <w:bodyDiv w:val="1"/>
      <w:marLeft w:val="0"/>
      <w:marRight w:val="0"/>
      <w:marTop w:val="0"/>
      <w:marBottom w:val="0"/>
      <w:divBdr>
        <w:top w:val="none" w:sz="0" w:space="0" w:color="auto"/>
        <w:left w:val="none" w:sz="0" w:space="0" w:color="auto"/>
        <w:bottom w:val="none" w:sz="0" w:space="0" w:color="auto"/>
        <w:right w:val="none" w:sz="0" w:space="0" w:color="auto"/>
      </w:divBdr>
    </w:div>
    <w:div w:id="805122595">
      <w:bodyDiv w:val="1"/>
      <w:marLeft w:val="0"/>
      <w:marRight w:val="0"/>
      <w:marTop w:val="0"/>
      <w:marBottom w:val="0"/>
      <w:divBdr>
        <w:top w:val="none" w:sz="0" w:space="0" w:color="auto"/>
        <w:left w:val="none" w:sz="0" w:space="0" w:color="auto"/>
        <w:bottom w:val="none" w:sz="0" w:space="0" w:color="auto"/>
        <w:right w:val="none" w:sz="0" w:space="0" w:color="auto"/>
      </w:divBdr>
    </w:div>
    <w:div w:id="805439415">
      <w:bodyDiv w:val="1"/>
      <w:marLeft w:val="0"/>
      <w:marRight w:val="0"/>
      <w:marTop w:val="0"/>
      <w:marBottom w:val="0"/>
      <w:divBdr>
        <w:top w:val="none" w:sz="0" w:space="0" w:color="auto"/>
        <w:left w:val="none" w:sz="0" w:space="0" w:color="auto"/>
        <w:bottom w:val="none" w:sz="0" w:space="0" w:color="auto"/>
        <w:right w:val="none" w:sz="0" w:space="0" w:color="auto"/>
      </w:divBdr>
    </w:div>
    <w:div w:id="810093580">
      <w:bodyDiv w:val="1"/>
      <w:marLeft w:val="0"/>
      <w:marRight w:val="0"/>
      <w:marTop w:val="0"/>
      <w:marBottom w:val="0"/>
      <w:divBdr>
        <w:top w:val="none" w:sz="0" w:space="0" w:color="auto"/>
        <w:left w:val="none" w:sz="0" w:space="0" w:color="auto"/>
        <w:bottom w:val="none" w:sz="0" w:space="0" w:color="auto"/>
        <w:right w:val="none" w:sz="0" w:space="0" w:color="auto"/>
      </w:divBdr>
    </w:div>
    <w:div w:id="814025845">
      <w:bodyDiv w:val="1"/>
      <w:marLeft w:val="0"/>
      <w:marRight w:val="0"/>
      <w:marTop w:val="0"/>
      <w:marBottom w:val="0"/>
      <w:divBdr>
        <w:top w:val="none" w:sz="0" w:space="0" w:color="auto"/>
        <w:left w:val="none" w:sz="0" w:space="0" w:color="auto"/>
        <w:bottom w:val="none" w:sz="0" w:space="0" w:color="auto"/>
        <w:right w:val="none" w:sz="0" w:space="0" w:color="auto"/>
      </w:divBdr>
    </w:div>
    <w:div w:id="828903089">
      <w:bodyDiv w:val="1"/>
      <w:marLeft w:val="0"/>
      <w:marRight w:val="0"/>
      <w:marTop w:val="0"/>
      <w:marBottom w:val="0"/>
      <w:divBdr>
        <w:top w:val="none" w:sz="0" w:space="0" w:color="auto"/>
        <w:left w:val="none" w:sz="0" w:space="0" w:color="auto"/>
        <w:bottom w:val="none" w:sz="0" w:space="0" w:color="auto"/>
        <w:right w:val="none" w:sz="0" w:space="0" w:color="auto"/>
      </w:divBdr>
    </w:div>
    <w:div w:id="833376106">
      <w:bodyDiv w:val="1"/>
      <w:marLeft w:val="0"/>
      <w:marRight w:val="0"/>
      <w:marTop w:val="0"/>
      <w:marBottom w:val="0"/>
      <w:divBdr>
        <w:top w:val="none" w:sz="0" w:space="0" w:color="auto"/>
        <w:left w:val="none" w:sz="0" w:space="0" w:color="auto"/>
        <w:bottom w:val="none" w:sz="0" w:space="0" w:color="auto"/>
        <w:right w:val="none" w:sz="0" w:space="0" w:color="auto"/>
      </w:divBdr>
    </w:div>
    <w:div w:id="838622258">
      <w:bodyDiv w:val="1"/>
      <w:marLeft w:val="0"/>
      <w:marRight w:val="0"/>
      <w:marTop w:val="0"/>
      <w:marBottom w:val="0"/>
      <w:divBdr>
        <w:top w:val="none" w:sz="0" w:space="0" w:color="auto"/>
        <w:left w:val="none" w:sz="0" w:space="0" w:color="auto"/>
        <w:bottom w:val="none" w:sz="0" w:space="0" w:color="auto"/>
        <w:right w:val="none" w:sz="0" w:space="0" w:color="auto"/>
      </w:divBdr>
    </w:div>
    <w:div w:id="838691006">
      <w:bodyDiv w:val="1"/>
      <w:marLeft w:val="0"/>
      <w:marRight w:val="0"/>
      <w:marTop w:val="0"/>
      <w:marBottom w:val="0"/>
      <w:divBdr>
        <w:top w:val="none" w:sz="0" w:space="0" w:color="auto"/>
        <w:left w:val="none" w:sz="0" w:space="0" w:color="auto"/>
        <w:bottom w:val="none" w:sz="0" w:space="0" w:color="auto"/>
        <w:right w:val="none" w:sz="0" w:space="0" w:color="auto"/>
      </w:divBdr>
    </w:div>
    <w:div w:id="839272187">
      <w:bodyDiv w:val="1"/>
      <w:marLeft w:val="0"/>
      <w:marRight w:val="0"/>
      <w:marTop w:val="0"/>
      <w:marBottom w:val="0"/>
      <w:divBdr>
        <w:top w:val="none" w:sz="0" w:space="0" w:color="auto"/>
        <w:left w:val="none" w:sz="0" w:space="0" w:color="auto"/>
        <w:bottom w:val="none" w:sz="0" w:space="0" w:color="auto"/>
        <w:right w:val="none" w:sz="0" w:space="0" w:color="auto"/>
      </w:divBdr>
    </w:div>
    <w:div w:id="839272613">
      <w:bodyDiv w:val="1"/>
      <w:marLeft w:val="0"/>
      <w:marRight w:val="0"/>
      <w:marTop w:val="0"/>
      <w:marBottom w:val="0"/>
      <w:divBdr>
        <w:top w:val="none" w:sz="0" w:space="0" w:color="auto"/>
        <w:left w:val="none" w:sz="0" w:space="0" w:color="auto"/>
        <w:bottom w:val="none" w:sz="0" w:space="0" w:color="auto"/>
        <w:right w:val="none" w:sz="0" w:space="0" w:color="auto"/>
      </w:divBdr>
    </w:div>
    <w:div w:id="844708504">
      <w:bodyDiv w:val="1"/>
      <w:marLeft w:val="0"/>
      <w:marRight w:val="0"/>
      <w:marTop w:val="0"/>
      <w:marBottom w:val="0"/>
      <w:divBdr>
        <w:top w:val="none" w:sz="0" w:space="0" w:color="auto"/>
        <w:left w:val="none" w:sz="0" w:space="0" w:color="auto"/>
        <w:bottom w:val="none" w:sz="0" w:space="0" w:color="auto"/>
        <w:right w:val="none" w:sz="0" w:space="0" w:color="auto"/>
      </w:divBdr>
    </w:div>
    <w:div w:id="856389266">
      <w:bodyDiv w:val="1"/>
      <w:marLeft w:val="0"/>
      <w:marRight w:val="0"/>
      <w:marTop w:val="0"/>
      <w:marBottom w:val="0"/>
      <w:divBdr>
        <w:top w:val="none" w:sz="0" w:space="0" w:color="auto"/>
        <w:left w:val="none" w:sz="0" w:space="0" w:color="auto"/>
        <w:bottom w:val="none" w:sz="0" w:space="0" w:color="auto"/>
        <w:right w:val="none" w:sz="0" w:space="0" w:color="auto"/>
      </w:divBdr>
    </w:div>
    <w:div w:id="856770231">
      <w:bodyDiv w:val="1"/>
      <w:marLeft w:val="0"/>
      <w:marRight w:val="0"/>
      <w:marTop w:val="0"/>
      <w:marBottom w:val="0"/>
      <w:divBdr>
        <w:top w:val="none" w:sz="0" w:space="0" w:color="auto"/>
        <w:left w:val="none" w:sz="0" w:space="0" w:color="auto"/>
        <w:bottom w:val="none" w:sz="0" w:space="0" w:color="auto"/>
        <w:right w:val="none" w:sz="0" w:space="0" w:color="auto"/>
      </w:divBdr>
    </w:div>
    <w:div w:id="863640234">
      <w:bodyDiv w:val="1"/>
      <w:marLeft w:val="0"/>
      <w:marRight w:val="0"/>
      <w:marTop w:val="0"/>
      <w:marBottom w:val="0"/>
      <w:divBdr>
        <w:top w:val="none" w:sz="0" w:space="0" w:color="auto"/>
        <w:left w:val="none" w:sz="0" w:space="0" w:color="auto"/>
        <w:bottom w:val="none" w:sz="0" w:space="0" w:color="auto"/>
        <w:right w:val="none" w:sz="0" w:space="0" w:color="auto"/>
      </w:divBdr>
    </w:div>
    <w:div w:id="866022586">
      <w:bodyDiv w:val="1"/>
      <w:marLeft w:val="0"/>
      <w:marRight w:val="0"/>
      <w:marTop w:val="0"/>
      <w:marBottom w:val="0"/>
      <w:divBdr>
        <w:top w:val="none" w:sz="0" w:space="0" w:color="auto"/>
        <w:left w:val="none" w:sz="0" w:space="0" w:color="auto"/>
        <w:bottom w:val="none" w:sz="0" w:space="0" w:color="auto"/>
        <w:right w:val="none" w:sz="0" w:space="0" w:color="auto"/>
      </w:divBdr>
    </w:div>
    <w:div w:id="866258487">
      <w:bodyDiv w:val="1"/>
      <w:marLeft w:val="0"/>
      <w:marRight w:val="0"/>
      <w:marTop w:val="0"/>
      <w:marBottom w:val="0"/>
      <w:divBdr>
        <w:top w:val="none" w:sz="0" w:space="0" w:color="auto"/>
        <w:left w:val="none" w:sz="0" w:space="0" w:color="auto"/>
        <w:bottom w:val="none" w:sz="0" w:space="0" w:color="auto"/>
        <w:right w:val="none" w:sz="0" w:space="0" w:color="auto"/>
      </w:divBdr>
    </w:div>
    <w:div w:id="871960508">
      <w:bodyDiv w:val="1"/>
      <w:marLeft w:val="0"/>
      <w:marRight w:val="0"/>
      <w:marTop w:val="0"/>
      <w:marBottom w:val="0"/>
      <w:divBdr>
        <w:top w:val="none" w:sz="0" w:space="0" w:color="auto"/>
        <w:left w:val="none" w:sz="0" w:space="0" w:color="auto"/>
        <w:bottom w:val="none" w:sz="0" w:space="0" w:color="auto"/>
        <w:right w:val="none" w:sz="0" w:space="0" w:color="auto"/>
      </w:divBdr>
    </w:div>
    <w:div w:id="874347980">
      <w:bodyDiv w:val="1"/>
      <w:marLeft w:val="0"/>
      <w:marRight w:val="0"/>
      <w:marTop w:val="0"/>
      <w:marBottom w:val="0"/>
      <w:divBdr>
        <w:top w:val="none" w:sz="0" w:space="0" w:color="auto"/>
        <w:left w:val="none" w:sz="0" w:space="0" w:color="auto"/>
        <w:bottom w:val="none" w:sz="0" w:space="0" w:color="auto"/>
        <w:right w:val="none" w:sz="0" w:space="0" w:color="auto"/>
      </w:divBdr>
    </w:div>
    <w:div w:id="875459694">
      <w:bodyDiv w:val="1"/>
      <w:marLeft w:val="0"/>
      <w:marRight w:val="0"/>
      <w:marTop w:val="0"/>
      <w:marBottom w:val="0"/>
      <w:divBdr>
        <w:top w:val="none" w:sz="0" w:space="0" w:color="auto"/>
        <w:left w:val="none" w:sz="0" w:space="0" w:color="auto"/>
        <w:bottom w:val="none" w:sz="0" w:space="0" w:color="auto"/>
        <w:right w:val="none" w:sz="0" w:space="0" w:color="auto"/>
      </w:divBdr>
    </w:div>
    <w:div w:id="875970831">
      <w:bodyDiv w:val="1"/>
      <w:marLeft w:val="0"/>
      <w:marRight w:val="0"/>
      <w:marTop w:val="0"/>
      <w:marBottom w:val="0"/>
      <w:divBdr>
        <w:top w:val="none" w:sz="0" w:space="0" w:color="auto"/>
        <w:left w:val="none" w:sz="0" w:space="0" w:color="auto"/>
        <w:bottom w:val="none" w:sz="0" w:space="0" w:color="auto"/>
        <w:right w:val="none" w:sz="0" w:space="0" w:color="auto"/>
      </w:divBdr>
    </w:div>
    <w:div w:id="876434323">
      <w:bodyDiv w:val="1"/>
      <w:marLeft w:val="0"/>
      <w:marRight w:val="0"/>
      <w:marTop w:val="0"/>
      <w:marBottom w:val="0"/>
      <w:divBdr>
        <w:top w:val="none" w:sz="0" w:space="0" w:color="auto"/>
        <w:left w:val="none" w:sz="0" w:space="0" w:color="auto"/>
        <w:bottom w:val="none" w:sz="0" w:space="0" w:color="auto"/>
        <w:right w:val="none" w:sz="0" w:space="0" w:color="auto"/>
      </w:divBdr>
    </w:div>
    <w:div w:id="881597186">
      <w:bodyDiv w:val="1"/>
      <w:marLeft w:val="0"/>
      <w:marRight w:val="0"/>
      <w:marTop w:val="0"/>
      <w:marBottom w:val="0"/>
      <w:divBdr>
        <w:top w:val="none" w:sz="0" w:space="0" w:color="auto"/>
        <w:left w:val="none" w:sz="0" w:space="0" w:color="auto"/>
        <w:bottom w:val="none" w:sz="0" w:space="0" w:color="auto"/>
        <w:right w:val="none" w:sz="0" w:space="0" w:color="auto"/>
      </w:divBdr>
    </w:div>
    <w:div w:id="891422050">
      <w:bodyDiv w:val="1"/>
      <w:marLeft w:val="0"/>
      <w:marRight w:val="0"/>
      <w:marTop w:val="0"/>
      <w:marBottom w:val="0"/>
      <w:divBdr>
        <w:top w:val="none" w:sz="0" w:space="0" w:color="auto"/>
        <w:left w:val="none" w:sz="0" w:space="0" w:color="auto"/>
        <w:bottom w:val="none" w:sz="0" w:space="0" w:color="auto"/>
        <w:right w:val="none" w:sz="0" w:space="0" w:color="auto"/>
      </w:divBdr>
    </w:div>
    <w:div w:id="893157355">
      <w:bodyDiv w:val="1"/>
      <w:marLeft w:val="0"/>
      <w:marRight w:val="0"/>
      <w:marTop w:val="0"/>
      <w:marBottom w:val="0"/>
      <w:divBdr>
        <w:top w:val="none" w:sz="0" w:space="0" w:color="auto"/>
        <w:left w:val="none" w:sz="0" w:space="0" w:color="auto"/>
        <w:bottom w:val="none" w:sz="0" w:space="0" w:color="auto"/>
        <w:right w:val="none" w:sz="0" w:space="0" w:color="auto"/>
      </w:divBdr>
    </w:div>
    <w:div w:id="894119263">
      <w:bodyDiv w:val="1"/>
      <w:marLeft w:val="0"/>
      <w:marRight w:val="0"/>
      <w:marTop w:val="0"/>
      <w:marBottom w:val="0"/>
      <w:divBdr>
        <w:top w:val="none" w:sz="0" w:space="0" w:color="auto"/>
        <w:left w:val="none" w:sz="0" w:space="0" w:color="auto"/>
        <w:bottom w:val="none" w:sz="0" w:space="0" w:color="auto"/>
        <w:right w:val="none" w:sz="0" w:space="0" w:color="auto"/>
      </w:divBdr>
    </w:div>
    <w:div w:id="894199355">
      <w:bodyDiv w:val="1"/>
      <w:marLeft w:val="0"/>
      <w:marRight w:val="0"/>
      <w:marTop w:val="0"/>
      <w:marBottom w:val="0"/>
      <w:divBdr>
        <w:top w:val="none" w:sz="0" w:space="0" w:color="auto"/>
        <w:left w:val="none" w:sz="0" w:space="0" w:color="auto"/>
        <w:bottom w:val="none" w:sz="0" w:space="0" w:color="auto"/>
        <w:right w:val="none" w:sz="0" w:space="0" w:color="auto"/>
      </w:divBdr>
    </w:div>
    <w:div w:id="895121275">
      <w:bodyDiv w:val="1"/>
      <w:marLeft w:val="0"/>
      <w:marRight w:val="0"/>
      <w:marTop w:val="0"/>
      <w:marBottom w:val="0"/>
      <w:divBdr>
        <w:top w:val="none" w:sz="0" w:space="0" w:color="auto"/>
        <w:left w:val="none" w:sz="0" w:space="0" w:color="auto"/>
        <w:bottom w:val="none" w:sz="0" w:space="0" w:color="auto"/>
        <w:right w:val="none" w:sz="0" w:space="0" w:color="auto"/>
      </w:divBdr>
      <w:divsChild>
        <w:div w:id="33314249">
          <w:marLeft w:val="446"/>
          <w:marRight w:val="0"/>
          <w:marTop w:val="0"/>
          <w:marBottom w:val="0"/>
          <w:divBdr>
            <w:top w:val="none" w:sz="0" w:space="0" w:color="auto"/>
            <w:left w:val="none" w:sz="0" w:space="0" w:color="auto"/>
            <w:bottom w:val="none" w:sz="0" w:space="0" w:color="auto"/>
            <w:right w:val="none" w:sz="0" w:space="0" w:color="auto"/>
          </w:divBdr>
        </w:div>
        <w:div w:id="244338947">
          <w:marLeft w:val="446"/>
          <w:marRight w:val="0"/>
          <w:marTop w:val="0"/>
          <w:marBottom w:val="0"/>
          <w:divBdr>
            <w:top w:val="none" w:sz="0" w:space="0" w:color="auto"/>
            <w:left w:val="none" w:sz="0" w:space="0" w:color="auto"/>
            <w:bottom w:val="none" w:sz="0" w:space="0" w:color="auto"/>
            <w:right w:val="none" w:sz="0" w:space="0" w:color="auto"/>
          </w:divBdr>
        </w:div>
        <w:div w:id="392125235">
          <w:marLeft w:val="446"/>
          <w:marRight w:val="0"/>
          <w:marTop w:val="0"/>
          <w:marBottom w:val="0"/>
          <w:divBdr>
            <w:top w:val="none" w:sz="0" w:space="0" w:color="auto"/>
            <w:left w:val="none" w:sz="0" w:space="0" w:color="auto"/>
            <w:bottom w:val="none" w:sz="0" w:space="0" w:color="auto"/>
            <w:right w:val="none" w:sz="0" w:space="0" w:color="auto"/>
          </w:divBdr>
        </w:div>
        <w:div w:id="446236929">
          <w:marLeft w:val="446"/>
          <w:marRight w:val="0"/>
          <w:marTop w:val="0"/>
          <w:marBottom w:val="0"/>
          <w:divBdr>
            <w:top w:val="none" w:sz="0" w:space="0" w:color="auto"/>
            <w:left w:val="none" w:sz="0" w:space="0" w:color="auto"/>
            <w:bottom w:val="none" w:sz="0" w:space="0" w:color="auto"/>
            <w:right w:val="none" w:sz="0" w:space="0" w:color="auto"/>
          </w:divBdr>
        </w:div>
        <w:div w:id="763190697">
          <w:marLeft w:val="446"/>
          <w:marRight w:val="0"/>
          <w:marTop w:val="0"/>
          <w:marBottom w:val="0"/>
          <w:divBdr>
            <w:top w:val="none" w:sz="0" w:space="0" w:color="auto"/>
            <w:left w:val="none" w:sz="0" w:space="0" w:color="auto"/>
            <w:bottom w:val="none" w:sz="0" w:space="0" w:color="auto"/>
            <w:right w:val="none" w:sz="0" w:space="0" w:color="auto"/>
          </w:divBdr>
        </w:div>
        <w:div w:id="947156993">
          <w:marLeft w:val="446"/>
          <w:marRight w:val="0"/>
          <w:marTop w:val="0"/>
          <w:marBottom w:val="0"/>
          <w:divBdr>
            <w:top w:val="none" w:sz="0" w:space="0" w:color="auto"/>
            <w:left w:val="none" w:sz="0" w:space="0" w:color="auto"/>
            <w:bottom w:val="none" w:sz="0" w:space="0" w:color="auto"/>
            <w:right w:val="none" w:sz="0" w:space="0" w:color="auto"/>
          </w:divBdr>
        </w:div>
        <w:div w:id="960694410">
          <w:marLeft w:val="446"/>
          <w:marRight w:val="0"/>
          <w:marTop w:val="0"/>
          <w:marBottom w:val="0"/>
          <w:divBdr>
            <w:top w:val="none" w:sz="0" w:space="0" w:color="auto"/>
            <w:left w:val="none" w:sz="0" w:space="0" w:color="auto"/>
            <w:bottom w:val="none" w:sz="0" w:space="0" w:color="auto"/>
            <w:right w:val="none" w:sz="0" w:space="0" w:color="auto"/>
          </w:divBdr>
        </w:div>
        <w:div w:id="1122965094">
          <w:marLeft w:val="446"/>
          <w:marRight w:val="0"/>
          <w:marTop w:val="0"/>
          <w:marBottom w:val="0"/>
          <w:divBdr>
            <w:top w:val="none" w:sz="0" w:space="0" w:color="auto"/>
            <w:left w:val="none" w:sz="0" w:space="0" w:color="auto"/>
            <w:bottom w:val="none" w:sz="0" w:space="0" w:color="auto"/>
            <w:right w:val="none" w:sz="0" w:space="0" w:color="auto"/>
          </w:divBdr>
        </w:div>
        <w:div w:id="1183711328">
          <w:marLeft w:val="446"/>
          <w:marRight w:val="0"/>
          <w:marTop w:val="0"/>
          <w:marBottom w:val="0"/>
          <w:divBdr>
            <w:top w:val="none" w:sz="0" w:space="0" w:color="auto"/>
            <w:left w:val="none" w:sz="0" w:space="0" w:color="auto"/>
            <w:bottom w:val="none" w:sz="0" w:space="0" w:color="auto"/>
            <w:right w:val="none" w:sz="0" w:space="0" w:color="auto"/>
          </w:divBdr>
        </w:div>
        <w:div w:id="1193304677">
          <w:marLeft w:val="446"/>
          <w:marRight w:val="0"/>
          <w:marTop w:val="0"/>
          <w:marBottom w:val="0"/>
          <w:divBdr>
            <w:top w:val="none" w:sz="0" w:space="0" w:color="auto"/>
            <w:left w:val="none" w:sz="0" w:space="0" w:color="auto"/>
            <w:bottom w:val="none" w:sz="0" w:space="0" w:color="auto"/>
            <w:right w:val="none" w:sz="0" w:space="0" w:color="auto"/>
          </w:divBdr>
        </w:div>
        <w:div w:id="1205291750">
          <w:marLeft w:val="446"/>
          <w:marRight w:val="0"/>
          <w:marTop w:val="0"/>
          <w:marBottom w:val="0"/>
          <w:divBdr>
            <w:top w:val="none" w:sz="0" w:space="0" w:color="auto"/>
            <w:left w:val="none" w:sz="0" w:space="0" w:color="auto"/>
            <w:bottom w:val="none" w:sz="0" w:space="0" w:color="auto"/>
            <w:right w:val="none" w:sz="0" w:space="0" w:color="auto"/>
          </w:divBdr>
        </w:div>
        <w:div w:id="1271400816">
          <w:marLeft w:val="446"/>
          <w:marRight w:val="0"/>
          <w:marTop w:val="0"/>
          <w:marBottom w:val="0"/>
          <w:divBdr>
            <w:top w:val="none" w:sz="0" w:space="0" w:color="auto"/>
            <w:left w:val="none" w:sz="0" w:space="0" w:color="auto"/>
            <w:bottom w:val="none" w:sz="0" w:space="0" w:color="auto"/>
            <w:right w:val="none" w:sz="0" w:space="0" w:color="auto"/>
          </w:divBdr>
        </w:div>
        <w:div w:id="1272131730">
          <w:marLeft w:val="446"/>
          <w:marRight w:val="0"/>
          <w:marTop w:val="0"/>
          <w:marBottom w:val="0"/>
          <w:divBdr>
            <w:top w:val="none" w:sz="0" w:space="0" w:color="auto"/>
            <w:left w:val="none" w:sz="0" w:space="0" w:color="auto"/>
            <w:bottom w:val="none" w:sz="0" w:space="0" w:color="auto"/>
            <w:right w:val="none" w:sz="0" w:space="0" w:color="auto"/>
          </w:divBdr>
        </w:div>
        <w:div w:id="1330407369">
          <w:marLeft w:val="446"/>
          <w:marRight w:val="0"/>
          <w:marTop w:val="0"/>
          <w:marBottom w:val="0"/>
          <w:divBdr>
            <w:top w:val="none" w:sz="0" w:space="0" w:color="auto"/>
            <w:left w:val="none" w:sz="0" w:space="0" w:color="auto"/>
            <w:bottom w:val="none" w:sz="0" w:space="0" w:color="auto"/>
            <w:right w:val="none" w:sz="0" w:space="0" w:color="auto"/>
          </w:divBdr>
        </w:div>
        <w:div w:id="1366248226">
          <w:marLeft w:val="446"/>
          <w:marRight w:val="0"/>
          <w:marTop w:val="0"/>
          <w:marBottom w:val="0"/>
          <w:divBdr>
            <w:top w:val="none" w:sz="0" w:space="0" w:color="auto"/>
            <w:left w:val="none" w:sz="0" w:space="0" w:color="auto"/>
            <w:bottom w:val="none" w:sz="0" w:space="0" w:color="auto"/>
            <w:right w:val="none" w:sz="0" w:space="0" w:color="auto"/>
          </w:divBdr>
        </w:div>
        <w:div w:id="1366566504">
          <w:marLeft w:val="446"/>
          <w:marRight w:val="0"/>
          <w:marTop w:val="0"/>
          <w:marBottom w:val="0"/>
          <w:divBdr>
            <w:top w:val="none" w:sz="0" w:space="0" w:color="auto"/>
            <w:left w:val="none" w:sz="0" w:space="0" w:color="auto"/>
            <w:bottom w:val="none" w:sz="0" w:space="0" w:color="auto"/>
            <w:right w:val="none" w:sz="0" w:space="0" w:color="auto"/>
          </w:divBdr>
        </w:div>
        <w:div w:id="1693260605">
          <w:marLeft w:val="446"/>
          <w:marRight w:val="0"/>
          <w:marTop w:val="0"/>
          <w:marBottom w:val="0"/>
          <w:divBdr>
            <w:top w:val="none" w:sz="0" w:space="0" w:color="auto"/>
            <w:left w:val="none" w:sz="0" w:space="0" w:color="auto"/>
            <w:bottom w:val="none" w:sz="0" w:space="0" w:color="auto"/>
            <w:right w:val="none" w:sz="0" w:space="0" w:color="auto"/>
          </w:divBdr>
        </w:div>
        <w:div w:id="1757509341">
          <w:marLeft w:val="446"/>
          <w:marRight w:val="0"/>
          <w:marTop w:val="0"/>
          <w:marBottom w:val="0"/>
          <w:divBdr>
            <w:top w:val="none" w:sz="0" w:space="0" w:color="auto"/>
            <w:left w:val="none" w:sz="0" w:space="0" w:color="auto"/>
            <w:bottom w:val="none" w:sz="0" w:space="0" w:color="auto"/>
            <w:right w:val="none" w:sz="0" w:space="0" w:color="auto"/>
          </w:divBdr>
        </w:div>
        <w:div w:id="1869639566">
          <w:marLeft w:val="446"/>
          <w:marRight w:val="0"/>
          <w:marTop w:val="0"/>
          <w:marBottom w:val="0"/>
          <w:divBdr>
            <w:top w:val="none" w:sz="0" w:space="0" w:color="auto"/>
            <w:left w:val="none" w:sz="0" w:space="0" w:color="auto"/>
            <w:bottom w:val="none" w:sz="0" w:space="0" w:color="auto"/>
            <w:right w:val="none" w:sz="0" w:space="0" w:color="auto"/>
          </w:divBdr>
        </w:div>
        <w:div w:id="1926189588">
          <w:marLeft w:val="446"/>
          <w:marRight w:val="0"/>
          <w:marTop w:val="0"/>
          <w:marBottom w:val="0"/>
          <w:divBdr>
            <w:top w:val="none" w:sz="0" w:space="0" w:color="auto"/>
            <w:left w:val="none" w:sz="0" w:space="0" w:color="auto"/>
            <w:bottom w:val="none" w:sz="0" w:space="0" w:color="auto"/>
            <w:right w:val="none" w:sz="0" w:space="0" w:color="auto"/>
          </w:divBdr>
        </w:div>
        <w:div w:id="1928683928">
          <w:marLeft w:val="446"/>
          <w:marRight w:val="0"/>
          <w:marTop w:val="0"/>
          <w:marBottom w:val="0"/>
          <w:divBdr>
            <w:top w:val="none" w:sz="0" w:space="0" w:color="auto"/>
            <w:left w:val="none" w:sz="0" w:space="0" w:color="auto"/>
            <w:bottom w:val="none" w:sz="0" w:space="0" w:color="auto"/>
            <w:right w:val="none" w:sz="0" w:space="0" w:color="auto"/>
          </w:divBdr>
        </w:div>
        <w:div w:id="1944997868">
          <w:marLeft w:val="446"/>
          <w:marRight w:val="0"/>
          <w:marTop w:val="0"/>
          <w:marBottom w:val="0"/>
          <w:divBdr>
            <w:top w:val="none" w:sz="0" w:space="0" w:color="auto"/>
            <w:left w:val="none" w:sz="0" w:space="0" w:color="auto"/>
            <w:bottom w:val="none" w:sz="0" w:space="0" w:color="auto"/>
            <w:right w:val="none" w:sz="0" w:space="0" w:color="auto"/>
          </w:divBdr>
        </w:div>
        <w:div w:id="2092385709">
          <w:marLeft w:val="446"/>
          <w:marRight w:val="0"/>
          <w:marTop w:val="0"/>
          <w:marBottom w:val="0"/>
          <w:divBdr>
            <w:top w:val="none" w:sz="0" w:space="0" w:color="auto"/>
            <w:left w:val="none" w:sz="0" w:space="0" w:color="auto"/>
            <w:bottom w:val="none" w:sz="0" w:space="0" w:color="auto"/>
            <w:right w:val="none" w:sz="0" w:space="0" w:color="auto"/>
          </w:divBdr>
        </w:div>
      </w:divsChild>
    </w:div>
    <w:div w:id="895580857">
      <w:bodyDiv w:val="1"/>
      <w:marLeft w:val="0"/>
      <w:marRight w:val="0"/>
      <w:marTop w:val="0"/>
      <w:marBottom w:val="0"/>
      <w:divBdr>
        <w:top w:val="none" w:sz="0" w:space="0" w:color="auto"/>
        <w:left w:val="none" w:sz="0" w:space="0" w:color="auto"/>
        <w:bottom w:val="none" w:sz="0" w:space="0" w:color="auto"/>
        <w:right w:val="none" w:sz="0" w:space="0" w:color="auto"/>
      </w:divBdr>
    </w:div>
    <w:div w:id="896011167">
      <w:bodyDiv w:val="1"/>
      <w:marLeft w:val="0"/>
      <w:marRight w:val="0"/>
      <w:marTop w:val="0"/>
      <w:marBottom w:val="0"/>
      <w:divBdr>
        <w:top w:val="none" w:sz="0" w:space="0" w:color="auto"/>
        <w:left w:val="none" w:sz="0" w:space="0" w:color="auto"/>
        <w:bottom w:val="none" w:sz="0" w:space="0" w:color="auto"/>
        <w:right w:val="none" w:sz="0" w:space="0" w:color="auto"/>
      </w:divBdr>
    </w:div>
    <w:div w:id="897325603">
      <w:bodyDiv w:val="1"/>
      <w:marLeft w:val="0"/>
      <w:marRight w:val="0"/>
      <w:marTop w:val="0"/>
      <w:marBottom w:val="0"/>
      <w:divBdr>
        <w:top w:val="none" w:sz="0" w:space="0" w:color="auto"/>
        <w:left w:val="none" w:sz="0" w:space="0" w:color="auto"/>
        <w:bottom w:val="none" w:sz="0" w:space="0" w:color="auto"/>
        <w:right w:val="none" w:sz="0" w:space="0" w:color="auto"/>
      </w:divBdr>
    </w:div>
    <w:div w:id="898978140">
      <w:bodyDiv w:val="1"/>
      <w:marLeft w:val="0"/>
      <w:marRight w:val="0"/>
      <w:marTop w:val="0"/>
      <w:marBottom w:val="0"/>
      <w:divBdr>
        <w:top w:val="none" w:sz="0" w:space="0" w:color="auto"/>
        <w:left w:val="none" w:sz="0" w:space="0" w:color="auto"/>
        <w:bottom w:val="none" w:sz="0" w:space="0" w:color="auto"/>
        <w:right w:val="none" w:sz="0" w:space="0" w:color="auto"/>
      </w:divBdr>
    </w:div>
    <w:div w:id="900168993">
      <w:bodyDiv w:val="1"/>
      <w:marLeft w:val="0"/>
      <w:marRight w:val="0"/>
      <w:marTop w:val="0"/>
      <w:marBottom w:val="0"/>
      <w:divBdr>
        <w:top w:val="none" w:sz="0" w:space="0" w:color="auto"/>
        <w:left w:val="none" w:sz="0" w:space="0" w:color="auto"/>
        <w:bottom w:val="none" w:sz="0" w:space="0" w:color="auto"/>
        <w:right w:val="none" w:sz="0" w:space="0" w:color="auto"/>
      </w:divBdr>
    </w:div>
    <w:div w:id="919405672">
      <w:bodyDiv w:val="1"/>
      <w:marLeft w:val="0"/>
      <w:marRight w:val="0"/>
      <w:marTop w:val="0"/>
      <w:marBottom w:val="0"/>
      <w:divBdr>
        <w:top w:val="none" w:sz="0" w:space="0" w:color="auto"/>
        <w:left w:val="none" w:sz="0" w:space="0" w:color="auto"/>
        <w:bottom w:val="none" w:sz="0" w:space="0" w:color="auto"/>
        <w:right w:val="none" w:sz="0" w:space="0" w:color="auto"/>
      </w:divBdr>
    </w:div>
    <w:div w:id="921061667">
      <w:bodyDiv w:val="1"/>
      <w:marLeft w:val="0"/>
      <w:marRight w:val="0"/>
      <w:marTop w:val="0"/>
      <w:marBottom w:val="0"/>
      <w:divBdr>
        <w:top w:val="none" w:sz="0" w:space="0" w:color="auto"/>
        <w:left w:val="none" w:sz="0" w:space="0" w:color="auto"/>
        <w:bottom w:val="none" w:sz="0" w:space="0" w:color="auto"/>
        <w:right w:val="none" w:sz="0" w:space="0" w:color="auto"/>
      </w:divBdr>
    </w:div>
    <w:div w:id="922028541">
      <w:bodyDiv w:val="1"/>
      <w:marLeft w:val="0"/>
      <w:marRight w:val="0"/>
      <w:marTop w:val="0"/>
      <w:marBottom w:val="0"/>
      <w:divBdr>
        <w:top w:val="none" w:sz="0" w:space="0" w:color="auto"/>
        <w:left w:val="none" w:sz="0" w:space="0" w:color="auto"/>
        <w:bottom w:val="none" w:sz="0" w:space="0" w:color="auto"/>
        <w:right w:val="none" w:sz="0" w:space="0" w:color="auto"/>
      </w:divBdr>
    </w:div>
    <w:div w:id="922186469">
      <w:bodyDiv w:val="1"/>
      <w:marLeft w:val="0"/>
      <w:marRight w:val="0"/>
      <w:marTop w:val="0"/>
      <w:marBottom w:val="0"/>
      <w:divBdr>
        <w:top w:val="none" w:sz="0" w:space="0" w:color="auto"/>
        <w:left w:val="none" w:sz="0" w:space="0" w:color="auto"/>
        <w:bottom w:val="none" w:sz="0" w:space="0" w:color="auto"/>
        <w:right w:val="none" w:sz="0" w:space="0" w:color="auto"/>
      </w:divBdr>
    </w:div>
    <w:div w:id="932711062">
      <w:bodyDiv w:val="1"/>
      <w:marLeft w:val="0"/>
      <w:marRight w:val="0"/>
      <w:marTop w:val="0"/>
      <w:marBottom w:val="0"/>
      <w:divBdr>
        <w:top w:val="none" w:sz="0" w:space="0" w:color="auto"/>
        <w:left w:val="none" w:sz="0" w:space="0" w:color="auto"/>
        <w:bottom w:val="none" w:sz="0" w:space="0" w:color="auto"/>
        <w:right w:val="none" w:sz="0" w:space="0" w:color="auto"/>
      </w:divBdr>
    </w:div>
    <w:div w:id="941376113">
      <w:bodyDiv w:val="1"/>
      <w:marLeft w:val="0"/>
      <w:marRight w:val="0"/>
      <w:marTop w:val="0"/>
      <w:marBottom w:val="0"/>
      <w:divBdr>
        <w:top w:val="none" w:sz="0" w:space="0" w:color="auto"/>
        <w:left w:val="none" w:sz="0" w:space="0" w:color="auto"/>
        <w:bottom w:val="none" w:sz="0" w:space="0" w:color="auto"/>
        <w:right w:val="none" w:sz="0" w:space="0" w:color="auto"/>
      </w:divBdr>
    </w:div>
    <w:div w:id="943265394">
      <w:bodyDiv w:val="1"/>
      <w:marLeft w:val="0"/>
      <w:marRight w:val="0"/>
      <w:marTop w:val="0"/>
      <w:marBottom w:val="0"/>
      <w:divBdr>
        <w:top w:val="none" w:sz="0" w:space="0" w:color="auto"/>
        <w:left w:val="none" w:sz="0" w:space="0" w:color="auto"/>
        <w:bottom w:val="none" w:sz="0" w:space="0" w:color="auto"/>
        <w:right w:val="none" w:sz="0" w:space="0" w:color="auto"/>
      </w:divBdr>
    </w:div>
    <w:div w:id="946693944">
      <w:bodyDiv w:val="1"/>
      <w:marLeft w:val="0"/>
      <w:marRight w:val="0"/>
      <w:marTop w:val="0"/>
      <w:marBottom w:val="0"/>
      <w:divBdr>
        <w:top w:val="none" w:sz="0" w:space="0" w:color="auto"/>
        <w:left w:val="none" w:sz="0" w:space="0" w:color="auto"/>
        <w:bottom w:val="none" w:sz="0" w:space="0" w:color="auto"/>
        <w:right w:val="none" w:sz="0" w:space="0" w:color="auto"/>
      </w:divBdr>
    </w:div>
    <w:div w:id="948970438">
      <w:bodyDiv w:val="1"/>
      <w:marLeft w:val="0"/>
      <w:marRight w:val="0"/>
      <w:marTop w:val="0"/>
      <w:marBottom w:val="0"/>
      <w:divBdr>
        <w:top w:val="none" w:sz="0" w:space="0" w:color="auto"/>
        <w:left w:val="none" w:sz="0" w:space="0" w:color="auto"/>
        <w:bottom w:val="none" w:sz="0" w:space="0" w:color="auto"/>
        <w:right w:val="none" w:sz="0" w:space="0" w:color="auto"/>
      </w:divBdr>
    </w:div>
    <w:div w:id="949552411">
      <w:bodyDiv w:val="1"/>
      <w:marLeft w:val="0"/>
      <w:marRight w:val="0"/>
      <w:marTop w:val="0"/>
      <w:marBottom w:val="0"/>
      <w:divBdr>
        <w:top w:val="none" w:sz="0" w:space="0" w:color="auto"/>
        <w:left w:val="none" w:sz="0" w:space="0" w:color="auto"/>
        <w:bottom w:val="none" w:sz="0" w:space="0" w:color="auto"/>
        <w:right w:val="none" w:sz="0" w:space="0" w:color="auto"/>
      </w:divBdr>
    </w:div>
    <w:div w:id="952713948">
      <w:bodyDiv w:val="1"/>
      <w:marLeft w:val="0"/>
      <w:marRight w:val="0"/>
      <w:marTop w:val="0"/>
      <w:marBottom w:val="0"/>
      <w:divBdr>
        <w:top w:val="none" w:sz="0" w:space="0" w:color="auto"/>
        <w:left w:val="none" w:sz="0" w:space="0" w:color="auto"/>
        <w:bottom w:val="none" w:sz="0" w:space="0" w:color="auto"/>
        <w:right w:val="none" w:sz="0" w:space="0" w:color="auto"/>
      </w:divBdr>
    </w:div>
    <w:div w:id="952859659">
      <w:bodyDiv w:val="1"/>
      <w:marLeft w:val="0"/>
      <w:marRight w:val="0"/>
      <w:marTop w:val="0"/>
      <w:marBottom w:val="0"/>
      <w:divBdr>
        <w:top w:val="none" w:sz="0" w:space="0" w:color="auto"/>
        <w:left w:val="none" w:sz="0" w:space="0" w:color="auto"/>
        <w:bottom w:val="none" w:sz="0" w:space="0" w:color="auto"/>
        <w:right w:val="none" w:sz="0" w:space="0" w:color="auto"/>
      </w:divBdr>
    </w:div>
    <w:div w:id="953290741">
      <w:bodyDiv w:val="1"/>
      <w:marLeft w:val="0"/>
      <w:marRight w:val="0"/>
      <w:marTop w:val="0"/>
      <w:marBottom w:val="0"/>
      <w:divBdr>
        <w:top w:val="none" w:sz="0" w:space="0" w:color="auto"/>
        <w:left w:val="none" w:sz="0" w:space="0" w:color="auto"/>
        <w:bottom w:val="none" w:sz="0" w:space="0" w:color="auto"/>
        <w:right w:val="none" w:sz="0" w:space="0" w:color="auto"/>
      </w:divBdr>
    </w:div>
    <w:div w:id="956452365">
      <w:bodyDiv w:val="1"/>
      <w:marLeft w:val="0"/>
      <w:marRight w:val="0"/>
      <w:marTop w:val="0"/>
      <w:marBottom w:val="0"/>
      <w:divBdr>
        <w:top w:val="none" w:sz="0" w:space="0" w:color="auto"/>
        <w:left w:val="none" w:sz="0" w:space="0" w:color="auto"/>
        <w:bottom w:val="none" w:sz="0" w:space="0" w:color="auto"/>
        <w:right w:val="none" w:sz="0" w:space="0" w:color="auto"/>
      </w:divBdr>
    </w:div>
    <w:div w:id="962420865">
      <w:bodyDiv w:val="1"/>
      <w:marLeft w:val="0"/>
      <w:marRight w:val="0"/>
      <w:marTop w:val="0"/>
      <w:marBottom w:val="0"/>
      <w:divBdr>
        <w:top w:val="none" w:sz="0" w:space="0" w:color="auto"/>
        <w:left w:val="none" w:sz="0" w:space="0" w:color="auto"/>
        <w:bottom w:val="none" w:sz="0" w:space="0" w:color="auto"/>
        <w:right w:val="none" w:sz="0" w:space="0" w:color="auto"/>
      </w:divBdr>
    </w:div>
    <w:div w:id="962808746">
      <w:bodyDiv w:val="1"/>
      <w:marLeft w:val="0"/>
      <w:marRight w:val="0"/>
      <w:marTop w:val="0"/>
      <w:marBottom w:val="0"/>
      <w:divBdr>
        <w:top w:val="none" w:sz="0" w:space="0" w:color="auto"/>
        <w:left w:val="none" w:sz="0" w:space="0" w:color="auto"/>
        <w:bottom w:val="none" w:sz="0" w:space="0" w:color="auto"/>
        <w:right w:val="none" w:sz="0" w:space="0" w:color="auto"/>
      </w:divBdr>
    </w:div>
    <w:div w:id="967130115">
      <w:bodyDiv w:val="1"/>
      <w:marLeft w:val="0"/>
      <w:marRight w:val="0"/>
      <w:marTop w:val="0"/>
      <w:marBottom w:val="0"/>
      <w:divBdr>
        <w:top w:val="none" w:sz="0" w:space="0" w:color="auto"/>
        <w:left w:val="none" w:sz="0" w:space="0" w:color="auto"/>
        <w:bottom w:val="none" w:sz="0" w:space="0" w:color="auto"/>
        <w:right w:val="none" w:sz="0" w:space="0" w:color="auto"/>
      </w:divBdr>
    </w:div>
    <w:div w:id="968433108">
      <w:bodyDiv w:val="1"/>
      <w:marLeft w:val="0"/>
      <w:marRight w:val="0"/>
      <w:marTop w:val="0"/>
      <w:marBottom w:val="0"/>
      <w:divBdr>
        <w:top w:val="none" w:sz="0" w:space="0" w:color="auto"/>
        <w:left w:val="none" w:sz="0" w:space="0" w:color="auto"/>
        <w:bottom w:val="none" w:sz="0" w:space="0" w:color="auto"/>
        <w:right w:val="none" w:sz="0" w:space="0" w:color="auto"/>
      </w:divBdr>
    </w:div>
    <w:div w:id="969213614">
      <w:bodyDiv w:val="1"/>
      <w:marLeft w:val="0"/>
      <w:marRight w:val="0"/>
      <w:marTop w:val="0"/>
      <w:marBottom w:val="0"/>
      <w:divBdr>
        <w:top w:val="none" w:sz="0" w:space="0" w:color="auto"/>
        <w:left w:val="none" w:sz="0" w:space="0" w:color="auto"/>
        <w:bottom w:val="none" w:sz="0" w:space="0" w:color="auto"/>
        <w:right w:val="none" w:sz="0" w:space="0" w:color="auto"/>
      </w:divBdr>
    </w:div>
    <w:div w:id="974143774">
      <w:bodyDiv w:val="1"/>
      <w:marLeft w:val="0"/>
      <w:marRight w:val="0"/>
      <w:marTop w:val="0"/>
      <w:marBottom w:val="0"/>
      <w:divBdr>
        <w:top w:val="none" w:sz="0" w:space="0" w:color="auto"/>
        <w:left w:val="none" w:sz="0" w:space="0" w:color="auto"/>
        <w:bottom w:val="none" w:sz="0" w:space="0" w:color="auto"/>
        <w:right w:val="none" w:sz="0" w:space="0" w:color="auto"/>
      </w:divBdr>
    </w:div>
    <w:div w:id="974719926">
      <w:bodyDiv w:val="1"/>
      <w:marLeft w:val="0"/>
      <w:marRight w:val="0"/>
      <w:marTop w:val="0"/>
      <w:marBottom w:val="0"/>
      <w:divBdr>
        <w:top w:val="none" w:sz="0" w:space="0" w:color="auto"/>
        <w:left w:val="none" w:sz="0" w:space="0" w:color="auto"/>
        <w:bottom w:val="none" w:sz="0" w:space="0" w:color="auto"/>
        <w:right w:val="none" w:sz="0" w:space="0" w:color="auto"/>
      </w:divBdr>
    </w:div>
    <w:div w:id="975178856">
      <w:bodyDiv w:val="1"/>
      <w:marLeft w:val="0"/>
      <w:marRight w:val="0"/>
      <w:marTop w:val="0"/>
      <w:marBottom w:val="0"/>
      <w:divBdr>
        <w:top w:val="none" w:sz="0" w:space="0" w:color="auto"/>
        <w:left w:val="none" w:sz="0" w:space="0" w:color="auto"/>
        <w:bottom w:val="none" w:sz="0" w:space="0" w:color="auto"/>
        <w:right w:val="none" w:sz="0" w:space="0" w:color="auto"/>
      </w:divBdr>
    </w:div>
    <w:div w:id="984118648">
      <w:bodyDiv w:val="1"/>
      <w:marLeft w:val="0"/>
      <w:marRight w:val="0"/>
      <w:marTop w:val="0"/>
      <w:marBottom w:val="0"/>
      <w:divBdr>
        <w:top w:val="none" w:sz="0" w:space="0" w:color="auto"/>
        <w:left w:val="none" w:sz="0" w:space="0" w:color="auto"/>
        <w:bottom w:val="none" w:sz="0" w:space="0" w:color="auto"/>
        <w:right w:val="none" w:sz="0" w:space="0" w:color="auto"/>
      </w:divBdr>
    </w:div>
    <w:div w:id="989166412">
      <w:bodyDiv w:val="1"/>
      <w:marLeft w:val="0"/>
      <w:marRight w:val="0"/>
      <w:marTop w:val="0"/>
      <w:marBottom w:val="0"/>
      <w:divBdr>
        <w:top w:val="none" w:sz="0" w:space="0" w:color="auto"/>
        <w:left w:val="none" w:sz="0" w:space="0" w:color="auto"/>
        <w:bottom w:val="none" w:sz="0" w:space="0" w:color="auto"/>
        <w:right w:val="none" w:sz="0" w:space="0" w:color="auto"/>
      </w:divBdr>
    </w:div>
    <w:div w:id="989673955">
      <w:bodyDiv w:val="1"/>
      <w:marLeft w:val="0"/>
      <w:marRight w:val="0"/>
      <w:marTop w:val="0"/>
      <w:marBottom w:val="0"/>
      <w:divBdr>
        <w:top w:val="none" w:sz="0" w:space="0" w:color="auto"/>
        <w:left w:val="none" w:sz="0" w:space="0" w:color="auto"/>
        <w:bottom w:val="none" w:sz="0" w:space="0" w:color="auto"/>
        <w:right w:val="none" w:sz="0" w:space="0" w:color="auto"/>
      </w:divBdr>
    </w:div>
    <w:div w:id="993871909">
      <w:bodyDiv w:val="1"/>
      <w:marLeft w:val="0"/>
      <w:marRight w:val="0"/>
      <w:marTop w:val="0"/>
      <w:marBottom w:val="0"/>
      <w:divBdr>
        <w:top w:val="none" w:sz="0" w:space="0" w:color="auto"/>
        <w:left w:val="none" w:sz="0" w:space="0" w:color="auto"/>
        <w:bottom w:val="none" w:sz="0" w:space="0" w:color="auto"/>
        <w:right w:val="none" w:sz="0" w:space="0" w:color="auto"/>
      </w:divBdr>
    </w:div>
    <w:div w:id="993996815">
      <w:bodyDiv w:val="1"/>
      <w:marLeft w:val="0"/>
      <w:marRight w:val="0"/>
      <w:marTop w:val="0"/>
      <w:marBottom w:val="0"/>
      <w:divBdr>
        <w:top w:val="none" w:sz="0" w:space="0" w:color="auto"/>
        <w:left w:val="none" w:sz="0" w:space="0" w:color="auto"/>
        <w:bottom w:val="none" w:sz="0" w:space="0" w:color="auto"/>
        <w:right w:val="none" w:sz="0" w:space="0" w:color="auto"/>
      </w:divBdr>
    </w:div>
    <w:div w:id="994798305">
      <w:bodyDiv w:val="1"/>
      <w:marLeft w:val="0"/>
      <w:marRight w:val="0"/>
      <w:marTop w:val="0"/>
      <w:marBottom w:val="0"/>
      <w:divBdr>
        <w:top w:val="none" w:sz="0" w:space="0" w:color="auto"/>
        <w:left w:val="none" w:sz="0" w:space="0" w:color="auto"/>
        <w:bottom w:val="none" w:sz="0" w:space="0" w:color="auto"/>
        <w:right w:val="none" w:sz="0" w:space="0" w:color="auto"/>
      </w:divBdr>
    </w:div>
    <w:div w:id="994802155">
      <w:bodyDiv w:val="1"/>
      <w:marLeft w:val="0"/>
      <w:marRight w:val="0"/>
      <w:marTop w:val="0"/>
      <w:marBottom w:val="0"/>
      <w:divBdr>
        <w:top w:val="none" w:sz="0" w:space="0" w:color="auto"/>
        <w:left w:val="none" w:sz="0" w:space="0" w:color="auto"/>
        <w:bottom w:val="none" w:sz="0" w:space="0" w:color="auto"/>
        <w:right w:val="none" w:sz="0" w:space="0" w:color="auto"/>
      </w:divBdr>
    </w:div>
    <w:div w:id="1006902197">
      <w:bodyDiv w:val="1"/>
      <w:marLeft w:val="0"/>
      <w:marRight w:val="0"/>
      <w:marTop w:val="0"/>
      <w:marBottom w:val="0"/>
      <w:divBdr>
        <w:top w:val="none" w:sz="0" w:space="0" w:color="auto"/>
        <w:left w:val="none" w:sz="0" w:space="0" w:color="auto"/>
        <w:bottom w:val="none" w:sz="0" w:space="0" w:color="auto"/>
        <w:right w:val="none" w:sz="0" w:space="0" w:color="auto"/>
      </w:divBdr>
    </w:div>
    <w:div w:id="1010108277">
      <w:bodyDiv w:val="1"/>
      <w:marLeft w:val="0"/>
      <w:marRight w:val="0"/>
      <w:marTop w:val="0"/>
      <w:marBottom w:val="0"/>
      <w:divBdr>
        <w:top w:val="none" w:sz="0" w:space="0" w:color="auto"/>
        <w:left w:val="none" w:sz="0" w:space="0" w:color="auto"/>
        <w:bottom w:val="none" w:sz="0" w:space="0" w:color="auto"/>
        <w:right w:val="none" w:sz="0" w:space="0" w:color="auto"/>
      </w:divBdr>
    </w:div>
    <w:div w:id="1013996311">
      <w:bodyDiv w:val="1"/>
      <w:marLeft w:val="0"/>
      <w:marRight w:val="0"/>
      <w:marTop w:val="0"/>
      <w:marBottom w:val="0"/>
      <w:divBdr>
        <w:top w:val="none" w:sz="0" w:space="0" w:color="auto"/>
        <w:left w:val="none" w:sz="0" w:space="0" w:color="auto"/>
        <w:bottom w:val="none" w:sz="0" w:space="0" w:color="auto"/>
        <w:right w:val="none" w:sz="0" w:space="0" w:color="auto"/>
      </w:divBdr>
    </w:div>
    <w:div w:id="1020551613">
      <w:bodyDiv w:val="1"/>
      <w:marLeft w:val="0"/>
      <w:marRight w:val="0"/>
      <w:marTop w:val="0"/>
      <w:marBottom w:val="0"/>
      <w:divBdr>
        <w:top w:val="none" w:sz="0" w:space="0" w:color="auto"/>
        <w:left w:val="none" w:sz="0" w:space="0" w:color="auto"/>
        <w:bottom w:val="none" w:sz="0" w:space="0" w:color="auto"/>
        <w:right w:val="none" w:sz="0" w:space="0" w:color="auto"/>
      </w:divBdr>
    </w:div>
    <w:div w:id="1024750482">
      <w:bodyDiv w:val="1"/>
      <w:marLeft w:val="0"/>
      <w:marRight w:val="0"/>
      <w:marTop w:val="0"/>
      <w:marBottom w:val="0"/>
      <w:divBdr>
        <w:top w:val="none" w:sz="0" w:space="0" w:color="auto"/>
        <w:left w:val="none" w:sz="0" w:space="0" w:color="auto"/>
        <w:bottom w:val="none" w:sz="0" w:space="0" w:color="auto"/>
        <w:right w:val="none" w:sz="0" w:space="0" w:color="auto"/>
      </w:divBdr>
    </w:div>
    <w:div w:id="1026296213">
      <w:bodyDiv w:val="1"/>
      <w:marLeft w:val="0"/>
      <w:marRight w:val="0"/>
      <w:marTop w:val="0"/>
      <w:marBottom w:val="0"/>
      <w:divBdr>
        <w:top w:val="none" w:sz="0" w:space="0" w:color="auto"/>
        <w:left w:val="none" w:sz="0" w:space="0" w:color="auto"/>
        <w:bottom w:val="none" w:sz="0" w:space="0" w:color="auto"/>
        <w:right w:val="none" w:sz="0" w:space="0" w:color="auto"/>
      </w:divBdr>
    </w:div>
    <w:div w:id="1027219364">
      <w:bodyDiv w:val="1"/>
      <w:marLeft w:val="0"/>
      <w:marRight w:val="0"/>
      <w:marTop w:val="0"/>
      <w:marBottom w:val="0"/>
      <w:divBdr>
        <w:top w:val="none" w:sz="0" w:space="0" w:color="auto"/>
        <w:left w:val="none" w:sz="0" w:space="0" w:color="auto"/>
        <w:bottom w:val="none" w:sz="0" w:space="0" w:color="auto"/>
        <w:right w:val="none" w:sz="0" w:space="0" w:color="auto"/>
      </w:divBdr>
    </w:div>
    <w:div w:id="1028287963">
      <w:bodyDiv w:val="1"/>
      <w:marLeft w:val="0"/>
      <w:marRight w:val="0"/>
      <w:marTop w:val="0"/>
      <w:marBottom w:val="0"/>
      <w:divBdr>
        <w:top w:val="none" w:sz="0" w:space="0" w:color="auto"/>
        <w:left w:val="none" w:sz="0" w:space="0" w:color="auto"/>
        <w:bottom w:val="none" w:sz="0" w:space="0" w:color="auto"/>
        <w:right w:val="none" w:sz="0" w:space="0" w:color="auto"/>
      </w:divBdr>
    </w:div>
    <w:div w:id="1029650638">
      <w:bodyDiv w:val="1"/>
      <w:marLeft w:val="0"/>
      <w:marRight w:val="0"/>
      <w:marTop w:val="0"/>
      <w:marBottom w:val="0"/>
      <w:divBdr>
        <w:top w:val="none" w:sz="0" w:space="0" w:color="auto"/>
        <w:left w:val="none" w:sz="0" w:space="0" w:color="auto"/>
        <w:bottom w:val="none" w:sz="0" w:space="0" w:color="auto"/>
        <w:right w:val="none" w:sz="0" w:space="0" w:color="auto"/>
      </w:divBdr>
    </w:div>
    <w:div w:id="1035695833">
      <w:bodyDiv w:val="1"/>
      <w:marLeft w:val="0"/>
      <w:marRight w:val="0"/>
      <w:marTop w:val="0"/>
      <w:marBottom w:val="0"/>
      <w:divBdr>
        <w:top w:val="none" w:sz="0" w:space="0" w:color="auto"/>
        <w:left w:val="none" w:sz="0" w:space="0" w:color="auto"/>
        <w:bottom w:val="none" w:sz="0" w:space="0" w:color="auto"/>
        <w:right w:val="none" w:sz="0" w:space="0" w:color="auto"/>
      </w:divBdr>
    </w:div>
    <w:div w:id="1039089805">
      <w:bodyDiv w:val="1"/>
      <w:marLeft w:val="0"/>
      <w:marRight w:val="0"/>
      <w:marTop w:val="0"/>
      <w:marBottom w:val="0"/>
      <w:divBdr>
        <w:top w:val="none" w:sz="0" w:space="0" w:color="auto"/>
        <w:left w:val="none" w:sz="0" w:space="0" w:color="auto"/>
        <w:bottom w:val="none" w:sz="0" w:space="0" w:color="auto"/>
        <w:right w:val="none" w:sz="0" w:space="0" w:color="auto"/>
      </w:divBdr>
    </w:div>
    <w:div w:id="1040742555">
      <w:bodyDiv w:val="1"/>
      <w:marLeft w:val="0"/>
      <w:marRight w:val="0"/>
      <w:marTop w:val="0"/>
      <w:marBottom w:val="0"/>
      <w:divBdr>
        <w:top w:val="none" w:sz="0" w:space="0" w:color="auto"/>
        <w:left w:val="none" w:sz="0" w:space="0" w:color="auto"/>
        <w:bottom w:val="none" w:sz="0" w:space="0" w:color="auto"/>
        <w:right w:val="none" w:sz="0" w:space="0" w:color="auto"/>
      </w:divBdr>
    </w:div>
    <w:div w:id="1041133738">
      <w:bodyDiv w:val="1"/>
      <w:marLeft w:val="0"/>
      <w:marRight w:val="0"/>
      <w:marTop w:val="0"/>
      <w:marBottom w:val="0"/>
      <w:divBdr>
        <w:top w:val="none" w:sz="0" w:space="0" w:color="auto"/>
        <w:left w:val="none" w:sz="0" w:space="0" w:color="auto"/>
        <w:bottom w:val="none" w:sz="0" w:space="0" w:color="auto"/>
        <w:right w:val="none" w:sz="0" w:space="0" w:color="auto"/>
      </w:divBdr>
    </w:div>
    <w:div w:id="1041980209">
      <w:bodyDiv w:val="1"/>
      <w:marLeft w:val="0"/>
      <w:marRight w:val="0"/>
      <w:marTop w:val="0"/>
      <w:marBottom w:val="0"/>
      <w:divBdr>
        <w:top w:val="none" w:sz="0" w:space="0" w:color="auto"/>
        <w:left w:val="none" w:sz="0" w:space="0" w:color="auto"/>
        <w:bottom w:val="none" w:sz="0" w:space="0" w:color="auto"/>
        <w:right w:val="none" w:sz="0" w:space="0" w:color="auto"/>
      </w:divBdr>
    </w:div>
    <w:div w:id="1042243036">
      <w:bodyDiv w:val="1"/>
      <w:marLeft w:val="0"/>
      <w:marRight w:val="0"/>
      <w:marTop w:val="0"/>
      <w:marBottom w:val="0"/>
      <w:divBdr>
        <w:top w:val="none" w:sz="0" w:space="0" w:color="auto"/>
        <w:left w:val="none" w:sz="0" w:space="0" w:color="auto"/>
        <w:bottom w:val="none" w:sz="0" w:space="0" w:color="auto"/>
        <w:right w:val="none" w:sz="0" w:space="0" w:color="auto"/>
      </w:divBdr>
    </w:div>
    <w:div w:id="1043406531">
      <w:bodyDiv w:val="1"/>
      <w:marLeft w:val="0"/>
      <w:marRight w:val="0"/>
      <w:marTop w:val="0"/>
      <w:marBottom w:val="0"/>
      <w:divBdr>
        <w:top w:val="none" w:sz="0" w:space="0" w:color="auto"/>
        <w:left w:val="none" w:sz="0" w:space="0" w:color="auto"/>
        <w:bottom w:val="none" w:sz="0" w:space="0" w:color="auto"/>
        <w:right w:val="none" w:sz="0" w:space="0" w:color="auto"/>
      </w:divBdr>
    </w:div>
    <w:div w:id="1043408866">
      <w:bodyDiv w:val="1"/>
      <w:marLeft w:val="0"/>
      <w:marRight w:val="0"/>
      <w:marTop w:val="0"/>
      <w:marBottom w:val="0"/>
      <w:divBdr>
        <w:top w:val="none" w:sz="0" w:space="0" w:color="auto"/>
        <w:left w:val="none" w:sz="0" w:space="0" w:color="auto"/>
        <w:bottom w:val="none" w:sz="0" w:space="0" w:color="auto"/>
        <w:right w:val="none" w:sz="0" w:space="0" w:color="auto"/>
      </w:divBdr>
    </w:div>
    <w:div w:id="1044450853">
      <w:bodyDiv w:val="1"/>
      <w:marLeft w:val="0"/>
      <w:marRight w:val="0"/>
      <w:marTop w:val="0"/>
      <w:marBottom w:val="0"/>
      <w:divBdr>
        <w:top w:val="none" w:sz="0" w:space="0" w:color="auto"/>
        <w:left w:val="none" w:sz="0" w:space="0" w:color="auto"/>
        <w:bottom w:val="none" w:sz="0" w:space="0" w:color="auto"/>
        <w:right w:val="none" w:sz="0" w:space="0" w:color="auto"/>
      </w:divBdr>
    </w:div>
    <w:div w:id="1048532242">
      <w:bodyDiv w:val="1"/>
      <w:marLeft w:val="0"/>
      <w:marRight w:val="0"/>
      <w:marTop w:val="0"/>
      <w:marBottom w:val="0"/>
      <w:divBdr>
        <w:top w:val="none" w:sz="0" w:space="0" w:color="auto"/>
        <w:left w:val="none" w:sz="0" w:space="0" w:color="auto"/>
        <w:bottom w:val="none" w:sz="0" w:space="0" w:color="auto"/>
        <w:right w:val="none" w:sz="0" w:space="0" w:color="auto"/>
      </w:divBdr>
    </w:div>
    <w:div w:id="1049494372">
      <w:bodyDiv w:val="1"/>
      <w:marLeft w:val="0"/>
      <w:marRight w:val="0"/>
      <w:marTop w:val="0"/>
      <w:marBottom w:val="0"/>
      <w:divBdr>
        <w:top w:val="none" w:sz="0" w:space="0" w:color="auto"/>
        <w:left w:val="none" w:sz="0" w:space="0" w:color="auto"/>
        <w:bottom w:val="none" w:sz="0" w:space="0" w:color="auto"/>
        <w:right w:val="none" w:sz="0" w:space="0" w:color="auto"/>
      </w:divBdr>
    </w:div>
    <w:div w:id="1055588991">
      <w:bodyDiv w:val="1"/>
      <w:marLeft w:val="0"/>
      <w:marRight w:val="0"/>
      <w:marTop w:val="0"/>
      <w:marBottom w:val="0"/>
      <w:divBdr>
        <w:top w:val="none" w:sz="0" w:space="0" w:color="auto"/>
        <w:left w:val="none" w:sz="0" w:space="0" w:color="auto"/>
        <w:bottom w:val="none" w:sz="0" w:space="0" w:color="auto"/>
        <w:right w:val="none" w:sz="0" w:space="0" w:color="auto"/>
      </w:divBdr>
    </w:div>
    <w:div w:id="1056393493">
      <w:bodyDiv w:val="1"/>
      <w:marLeft w:val="0"/>
      <w:marRight w:val="0"/>
      <w:marTop w:val="0"/>
      <w:marBottom w:val="0"/>
      <w:divBdr>
        <w:top w:val="none" w:sz="0" w:space="0" w:color="auto"/>
        <w:left w:val="none" w:sz="0" w:space="0" w:color="auto"/>
        <w:bottom w:val="none" w:sz="0" w:space="0" w:color="auto"/>
        <w:right w:val="none" w:sz="0" w:space="0" w:color="auto"/>
      </w:divBdr>
    </w:div>
    <w:div w:id="1056780678">
      <w:bodyDiv w:val="1"/>
      <w:marLeft w:val="0"/>
      <w:marRight w:val="0"/>
      <w:marTop w:val="0"/>
      <w:marBottom w:val="0"/>
      <w:divBdr>
        <w:top w:val="none" w:sz="0" w:space="0" w:color="auto"/>
        <w:left w:val="none" w:sz="0" w:space="0" w:color="auto"/>
        <w:bottom w:val="none" w:sz="0" w:space="0" w:color="auto"/>
        <w:right w:val="none" w:sz="0" w:space="0" w:color="auto"/>
      </w:divBdr>
    </w:div>
    <w:div w:id="1065031147">
      <w:bodyDiv w:val="1"/>
      <w:marLeft w:val="0"/>
      <w:marRight w:val="0"/>
      <w:marTop w:val="0"/>
      <w:marBottom w:val="0"/>
      <w:divBdr>
        <w:top w:val="none" w:sz="0" w:space="0" w:color="auto"/>
        <w:left w:val="none" w:sz="0" w:space="0" w:color="auto"/>
        <w:bottom w:val="none" w:sz="0" w:space="0" w:color="auto"/>
        <w:right w:val="none" w:sz="0" w:space="0" w:color="auto"/>
      </w:divBdr>
    </w:div>
    <w:div w:id="1067529217">
      <w:bodyDiv w:val="1"/>
      <w:marLeft w:val="0"/>
      <w:marRight w:val="0"/>
      <w:marTop w:val="0"/>
      <w:marBottom w:val="0"/>
      <w:divBdr>
        <w:top w:val="none" w:sz="0" w:space="0" w:color="auto"/>
        <w:left w:val="none" w:sz="0" w:space="0" w:color="auto"/>
        <w:bottom w:val="none" w:sz="0" w:space="0" w:color="auto"/>
        <w:right w:val="none" w:sz="0" w:space="0" w:color="auto"/>
      </w:divBdr>
    </w:div>
    <w:div w:id="1068963236">
      <w:bodyDiv w:val="1"/>
      <w:marLeft w:val="0"/>
      <w:marRight w:val="0"/>
      <w:marTop w:val="0"/>
      <w:marBottom w:val="0"/>
      <w:divBdr>
        <w:top w:val="none" w:sz="0" w:space="0" w:color="auto"/>
        <w:left w:val="none" w:sz="0" w:space="0" w:color="auto"/>
        <w:bottom w:val="none" w:sz="0" w:space="0" w:color="auto"/>
        <w:right w:val="none" w:sz="0" w:space="0" w:color="auto"/>
      </w:divBdr>
    </w:div>
    <w:div w:id="1072312565">
      <w:bodyDiv w:val="1"/>
      <w:marLeft w:val="0"/>
      <w:marRight w:val="0"/>
      <w:marTop w:val="0"/>
      <w:marBottom w:val="0"/>
      <w:divBdr>
        <w:top w:val="none" w:sz="0" w:space="0" w:color="auto"/>
        <w:left w:val="none" w:sz="0" w:space="0" w:color="auto"/>
        <w:bottom w:val="none" w:sz="0" w:space="0" w:color="auto"/>
        <w:right w:val="none" w:sz="0" w:space="0" w:color="auto"/>
      </w:divBdr>
    </w:div>
    <w:div w:id="1075668630">
      <w:bodyDiv w:val="1"/>
      <w:marLeft w:val="0"/>
      <w:marRight w:val="0"/>
      <w:marTop w:val="0"/>
      <w:marBottom w:val="0"/>
      <w:divBdr>
        <w:top w:val="none" w:sz="0" w:space="0" w:color="auto"/>
        <w:left w:val="none" w:sz="0" w:space="0" w:color="auto"/>
        <w:bottom w:val="none" w:sz="0" w:space="0" w:color="auto"/>
        <w:right w:val="none" w:sz="0" w:space="0" w:color="auto"/>
      </w:divBdr>
    </w:div>
    <w:div w:id="1080367911">
      <w:bodyDiv w:val="1"/>
      <w:marLeft w:val="0"/>
      <w:marRight w:val="0"/>
      <w:marTop w:val="0"/>
      <w:marBottom w:val="0"/>
      <w:divBdr>
        <w:top w:val="none" w:sz="0" w:space="0" w:color="auto"/>
        <w:left w:val="none" w:sz="0" w:space="0" w:color="auto"/>
        <w:bottom w:val="none" w:sz="0" w:space="0" w:color="auto"/>
        <w:right w:val="none" w:sz="0" w:space="0" w:color="auto"/>
      </w:divBdr>
    </w:div>
    <w:div w:id="1081366236">
      <w:bodyDiv w:val="1"/>
      <w:marLeft w:val="0"/>
      <w:marRight w:val="0"/>
      <w:marTop w:val="0"/>
      <w:marBottom w:val="0"/>
      <w:divBdr>
        <w:top w:val="none" w:sz="0" w:space="0" w:color="auto"/>
        <w:left w:val="none" w:sz="0" w:space="0" w:color="auto"/>
        <w:bottom w:val="none" w:sz="0" w:space="0" w:color="auto"/>
        <w:right w:val="none" w:sz="0" w:space="0" w:color="auto"/>
      </w:divBdr>
    </w:div>
    <w:div w:id="1087533305">
      <w:bodyDiv w:val="1"/>
      <w:marLeft w:val="0"/>
      <w:marRight w:val="0"/>
      <w:marTop w:val="0"/>
      <w:marBottom w:val="0"/>
      <w:divBdr>
        <w:top w:val="none" w:sz="0" w:space="0" w:color="auto"/>
        <w:left w:val="none" w:sz="0" w:space="0" w:color="auto"/>
        <w:bottom w:val="none" w:sz="0" w:space="0" w:color="auto"/>
        <w:right w:val="none" w:sz="0" w:space="0" w:color="auto"/>
      </w:divBdr>
    </w:div>
    <w:div w:id="1088311162">
      <w:bodyDiv w:val="1"/>
      <w:marLeft w:val="0"/>
      <w:marRight w:val="0"/>
      <w:marTop w:val="0"/>
      <w:marBottom w:val="0"/>
      <w:divBdr>
        <w:top w:val="none" w:sz="0" w:space="0" w:color="auto"/>
        <w:left w:val="none" w:sz="0" w:space="0" w:color="auto"/>
        <w:bottom w:val="none" w:sz="0" w:space="0" w:color="auto"/>
        <w:right w:val="none" w:sz="0" w:space="0" w:color="auto"/>
      </w:divBdr>
    </w:div>
    <w:div w:id="1090664590">
      <w:bodyDiv w:val="1"/>
      <w:marLeft w:val="0"/>
      <w:marRight w:val="0"/>
      <w:marTop w:val="0"/>
      <w:marBottom w:val="0"/>
      <w:divBdr>
        <w:top w:val="none" w:sz="0" w:space="0" w:color="auto"/>
        <w:left w:val="none" w:sz="0" w:space="0" w:color="auto"/>
        <w:bottom w:val="none" w:sz="0" w:space="0" w:color="auto"/>
        <w:right w:val="none" w:sz="0" w:space="0" w:color="auto"/>
      </w:divBdr>
    </w:div>
    <w:div w:id="1095202140">
      <w:bodyDiv w:val="1"/>
      <w:marLeft w:val="0"/>
      <w:marRight w:val="0"/>
      <w:marTop w:val="0"/>
      <w:marBottom w:val="0"/>
      <w:divBdr>
        <w:top w:val="none" w:sz="0" w:space="0" w:color="auto"/>
        <w:left w:val="none" w:sz="0" w:space="0" w:color="auto"/>
        <w:bottom w:val="none" w:sz="0" w:space="0" w:color="auto"/>
        <w:right w:val="none" w:sz="0" w:space="0" w:color="auto"/>
      </w:divBdr>
    </w:div>
    <w:div w:id="1098218029">
      <w:bodyDiv w:val="1"/>
      <w:marLeft w:val="0"/>
      <w:marRight w:val="0"/>
      <w:marTop w:val="0"/>
      <w:marBottom w:val="0"/>
      <w:divBdr>
        <w:top w:val="none" w:sz="0" w:space="0" w:color="auto"/>
        <w:left w:val="none" w:sz="0" w:space="0" w:color="auto"/>
        <w:bottom w:val="none" w:sz="0" w:space="0" w:color="auto"/>
        <w:right w:val="none" w:sz="0" w:space="0" w:color="auto"/>
      </w:divBdr>
    </w:div>
    <w:div w:id="1114397644">
      <w:bodyDiv w:val="1"/>
      <w:marLeft w:val="0"/>
      <w:marRight w:val="0"/>
      <w:marTop w:val="0"/>
      <w:marBottom w:val="0"/>
      <w:divBdr>
        <w:top w:val="none" w:sz="0" w:space="0" w:color="auto"/>
        <w:left w:val="none" w:sz="0" w:space="0" w:color="auto"/>
        <w:bottom w:val="none" w:sz="0" w:space="0" w:color="auto"/>
        <w:right w:val="none" w:sz="0" w:space="0" w:color="auto"/>
      </w:divBdr>
    </w:div>
    <w:div w:id="1117333771">
      <w:bodyDiv w:val="1"/>
      <w:marLeft w:val="0"/>
      <w:marRight w:val="0"/>
      <w:marTop w:val="0"/>
      <w:marBottom w:val="0"/>
      <w:divBdr>
        <w:top w:val="none" w:sz="0" w:space="0" w:color="auto"/>
        <w:left w:val="none" w:sz="0" w:space="0" w:color="auto"/>
        <w:bottom w:val="none" w:sz="0" w:space="0" w:color="auto"/>
        <w:right w:val="none" w:sz="0" w:space="0" w:color="auto"/>
      </w:divBdr>
    </w:div>
    <w:div w:id="1118990676">
      <w:bodyDiv w:val="1"/>
      <w:marLeft w:val="0"/>
      <w:marRight w:val="0"/>
      <w:marTop w:val="0"/>
      <w:marBottom w:val="0"/>
      <w:divBdr>
        <w:top w:val="none" w:sz="0" w:space="0" w:color="auto"/>
        <w:left w:val="none" w:sz="0" w:space="0" w:color="auto"/>
        <w:bottom w:val="none" w:sz="0" w:space="0" w:color="auto"/>
        <w:right w:val="none" w:sz="0" w:space="0" w:color="auto"/>
      </w:divBdr>
    </w:div>
    <w:div w:id="1120688158">
      <w:bodyDiv w:val="1"/>
      <w:marLeft w:val="0"/>
      <w:marRight w:val="0"/>
      <w:marTop w:val="0"/>
      <w:marBottom w:val="0"/>
      <w:divBdr>
        <w:top w:val="none" w:sz="0" w:space="0" w:color="auto"/>
        <w:left w:val="none" w:sz="0" w:space="0" w:color="auto"/>
        <w:bottom w:val="none" w:sz="0" w:space="0" w:color="auto"/>
        <w:right w:val="none" w:sz="0" w:space="0" w:color="auto"/>
      </w:divBdr>
    </w:div>
    <w:div w:id="1123427932">
      <w:bodyDiv w:val="1"/>
      <w:marLeft w:val="0"/>
      <w:marRight w:val="0"/>
      <w:marTop w:val="0"/>
      <w:marBottom w:val="0"/>
      <w:divBdr>
        <w:top w:val="none" w:sz="0" w:space="0" w:color="auto"/>
        <w:left w:val="none" w:sz="0" w:space="0" w:color="auto"/>
        <w:bottom w:val="none" w:sz="0" w:space="0" w:color="auto"/>
        <w:right w:val="none" w:sz="0" w:space="0" w:color="auto"/>
      </w:divBdr>
    </w:div>
    <w:div w:id="1123577470">
      <w:bodyDiv w:val="1"/>
      <w:marLeft w:val="0"/>
      <w:marRight w:val="0"/>
      <w:marTop w:val="0"/>
      <w:marBottom w:val="0"/>
      <w:divBdr>
        <w:top w:val="none" w:sz="0" w:space="0" w:color="auto"/>
        <w:left w:val="none" w:sz="0" w:space="0" w:color="auto"/>
        <w:bottom w:val="none" w:sz="0" w:space="0" w:color="auto"/>
        <w:right w:val="none" w:sz="0" w:space="0" w:color="auto"/>
      </w:divBdr>
    </w:div>
    <w:div w:id="1124346420">
      <w:bodyDiv w:val="1"/>
      <w:marLeft w:val="0"/>
      <w:marRight w:val="0"/>
      <w:marTop w:val="0"/>
      <w:marBottom w:val="0"/>
      <w:divBdr>
        <w:top w:val="none" w:sz="0" w:space="0" w:color="auto"/>
        <w:left w:val="none" w:sz="0" w:space="0" w:color="auto"/>
        <w:bottom w:val="none" w:sz="0" w:space="0" w:color="auto"/>
        <w:right w:val="none" w:sz="0" w:space="0" w:color="auto"/>
      </w:divBdr>
    </w:div>
    <w:div w:id="1124732028">
      <w:bodyDiv w:val="1"/>
      <w:marLeft w:val="0"/>
      <w:marRight w:val="0"/>
      <w:marTop w:val="0"/>
      <w:marBottom w:val="0"/>
      <w:divBdr>
        <w:top w:val="none" w:sz="0" w:space="0" w:color="auto"/>
        <w:left w:val="none" w:sz="0" w:space="0" w:color="auto"/>
        <w:bottom w:val="none" w:sz="0" w:space="0" w:color="auto"/>
        <w:right w:val="none" w:sz="0" w:space="0" w:color="auto"/>
      </w:divBdr>
    </w:div>
    <w:div w:id="1127159232">
      <w:bodyDiv w:val="1"/>
      <w:marLeft w:val="0"/>
      <w:marRight w:val="0"/>
      <w:marTop w:val="0"/>
      <w:marBottom w:val="0"/>
      <w:divBdr>
        <w:top w:val="none" w:sz="0" w:space="0" w:color="auto"/>
        <w:left w:val="none" w:sz="0" w:space="0" w:color="auto"/>
        <w:bottom w:val="none" w:sz="0" w:space="0" w:color="auto"/>
        <w:right w:val="none" w:sz="0" w:space="0" w:color="auto"/>
      </w:divBdr>
    </w:div>
    <w:div w:id="1127746473">
      <w:bodyDiv w:val="1"/>
      <w:marLeft w:val="0"/>
      <w:marRight w:val="0"/>
      <w:marTop w:val="0"/>
      <w:marBottom w:val="0"/>
      <w:divBdr>
        <w:top w:val="none" w:sz="0" w:space="0" w:color="auto"/>
        <w:left w:val="none" w:sz="0" w:space="0" w:color="auto"/>
        <w:bottom w:val="none" w:sz="0" w:space="0" w:color="auto"/>
        <w:right w:val="none" w:sz="0" w:space="0" w:color="auto"/>
      </w:divBdr>
    </w:div>
    <w:div w:id="1129133279">
      <w:bodyDiv w:val="1"/>
      <w:marLeft w:val="0"/>
      <w:marRight w:val="0"/>
      <w:marTop w:val="0"/>
      <w:marBottom w:val="0"/>
      <w:divBdr>
        <w:top w:val="none" w:sz="0" w:space="0" w:color="auto"/>
        <w:left w:val="none" w:sz="0" w:space="0" w:color="auto"/>
        <w:bottom w:val="none" w:sz="0" w:space="0" w:color="auto"/>
        <w:right w:val="none" w:sz="0" w:space="0" w:color="auto"/>
      </w:divBdr>
    </w:div>
    <w:div w:id="1134441790">
      <w:bodyDiv w:val="1"/>
      <w:marLeft w:val="0"/>
      <w:marRight w:val="0"/>
      <w:marTop w:val="0"/>
      <w:marBottom w:val="0"/>
      <w:divBdr>
        <w:top w:val="none" w:sz="0" w:space="0" w:color="auto"/>
        <w:left w:val="none" w:sz="0" w:space="0" w:color="auto"/>
        <w:bottom w:val="none" w:sz="0" w:space="0" w:color="auto"/>
        <w:right w:val="none" w:sz="0" w:space="0" w:color="auto"/>
      </w:divBdr>
    </w:div>
    <w:div w:id="1136097994">
      <w:bodyDiv w:val="1"/>
      <w:marLeft w:val="0"/>
      <w:marRight w:val="0"/>
      <w:marTop w:val="0"/>
      <w:marBottom w:val="0"/>
      <w:divBdr>
        <w:top w:val="none" w:sz="0" w:space="0" w:color="auto"/>
        <w:left w:val="none" w:sz="0" w:space="0" w:color="auto"/>
        <w:bottom w:val="none" w:sz="0" w:space="0" w:color="auto"/>
        <w:right w:val="none" w:sz="0" w:space="0" w:color="auto"/>
      </w:divBdr>
    </w:div>
    <w:div w:id="1136606199">
      <w:bodyDiv w:val="1"/>
      <w:marLeft w:val="0"/>
      <w:marRight w:val="0"/>
      <w:marTop w:val="0"/>
      <w:marBottom w:val="0"/>
      <w:divBdr>
        <w:top w:val="none" w:sz="0" w:space="0" w:color="auto"/>
        <w:left w:val="none" w:sz="0" w:space="0" w:color="auto"/>
        <w:bottom w:val="none" w:sz="0" w:space="0" w:color="auto"/>
        <w:right w:val="none" w:sz="0" w:space="0" w:color="auto"/>
      </w:divBdr>
    </w:div>
    <w:div w:id="1137651341">
      <w:bodyDiv w:val="1"/>
      <w:marLeft w:val="0"/>
      <w:marRight w:val="0"/>
      <w:marTop w:val="0"/>
      <w:marBottom w:val="0"/>
      <w:divBdr>
        <w:top w:val="none" w:sz="0" w:space="0" w:color="auto"/>
        <w:left w:val="none" w:sz="0" w:space="0" w:color="auto"/>
        <w:bottom w:val="none" w:sz="0" w:space="0" w:color="auto"/>
        <w:right w:val="none" w:sz="0" w:space="0" w:color="auto"/>
      </w:divBdr>
    </w:div>
    <w:div w:id="1142577116">
      <w:bodyDiv w:val="1"/>
      <w:marLeft w:val="0"/>
      <w:marRight w:val="0"/>
      <w:marTop w:val="0"/>
      <w:marBottom w:val="0"/>
      <w:divBdr>
        <w:top w:val="none" w:sz="0" w:space="0" w:color="auto"/>
        <w:left w:val="none" w:sz="0" w:space="0" w:color="auto"/>
        <w:bottom w:val="none" w:sz="0" w:space="0" w:color="auto"/>
        <w:right w:val="none" w:sz="0" w:space="0" w:color="auto"/>
      </w:divBdr>
    </w:div>
    <w:div w:id="1143735845">
      <w:bodyDiv w:val="1"/>
      <w:marLeft w:val="0"/>
      <w:marRight w:val="0"/>
      <w:marTop w:val="0"/>
      <w:marBottom w:val="0"/>
      <w:divBdr>
        <w:top w:val="none" w:sz="0" w:space="0" w:color="auto"/>
        <w:left w:val="none" w:sz="0" w:space="0" w:color="auto"/>
        <w:bottom w:val="none" w:sz="0" w:space="0" w:color="auto"/>
        <w:right w:val="none" w:sz="0" w:space="0" w:color="auto"/>
      </w:divBdr>
    </w:div>
    <w:div w:id="1148136253">
      <w:bodyDiv w:val="1"/>
      <w:marLeft w:val="0"/>
      <w:marRight w:val="0"/>
      <w:marTop w:val="0"/>
      <w:marBottom w:val="0"/>
      <w:divBdr>
        <w:top w:val="none" w:sz="0" w:space="0" w:color="auto"/>
        <w:left w:val="none" w:sz="0" w:space="0" w:color="auto"/>
        <w:bottom w:val="none" w:sz="0" w:space="0" w:color="auto"/>
        <w:right w:val="none" w:sz="0" w:space="0" w:color="auto"/>
      </w:divBdr>
    </w:div>
    <w:div w:id="1153370478">
      <w:bodyDiv w:val="1"/>
      <w:marLeft w:val="0"/>
      <w:marRight w:val="0"/>
      <w:marTop w:val="0"/>
      <w:marBottom w:val="0"/>
      <w:divBdr>
        <w:top w:val="none" w:sz="0" w:space="0" w:color="auto"/>
        <w:left w:val="none" w:sz="0" w:space="0" w:color="auto"/>
        <w:bottom w:val="none" w:sz="0" w:space="0" w:color="auto"/>
        <w:right w:val="none" w:sz="0" w:space="0" w:color="auto"/>
      </w:divBdr>
    </w:div>
    <w:div w:id="1160577420">
      <w:bodyDiv w:val="1"/>
      <w:marLeft w:val="0"/>
      <w:marRight w:val="0"/>
      <w:marTop w:val="0"/>
      <w:marBottom w:val="0"/>
      <w:divBdr>
        <w:top w:val="none" w:sz="0" w:space="0" w:color="auto"/>
        <w:left w:val="none" w:sz="0" w:space="0" w:color="auto"/>
        <w:bottom w:val="none" w:sz="0" w:space="0" w:color="auto"/>
        <w:right w:val="none" w:sz="0" w:space="0" w:color="auto"/>
      </w:divBdr>
    </w:div>
    <w:div w:id="1169324546">
      <w:bodyDiv w:val="1"/>
      <w:marLeft w:val="0"/>
      <w:marRight w:val="0"/>
      <w:marTop w:val="0"/>
      <w:marBottom w:val="0"/>
      <w:divBdr>
        <w:top w:val="none" w:sz="0" w:space="0" w:color="auto"/>
        <w:left w:val="none" w:sz="0" w:space="0" w:color="auto"/>
        <w:bottom w:val="none" w:sz="0" w:space="0" w:color="auto"/>
        <w:right w:val="none" w:sz="0" w:space="0" w:color="auto"/>
      </w:divBdr>
    </w:div>
    <w:div w:id="1171136467">
      <w:bodyDiv w:val="1"/>
      <w:marLeft w:val="0"/>
      <w:marRight w:val="0"/>
      <w:marTop w:val="0"/>
      <w:marBottom w:val="0"/>
      <w:divBdr>
        <w:top w:val="none" w:sz="0" w:space="0" w:color="auto"/>
        <w:left w:val="none" w:sz="0" w:space="0" w:color="auto"/>
        <w:bottom w:val="none" w:sz="0" w:space="0" w:color="auto"/>
        <w:right w:val="none" w:sz="0" w:space="0" w:color="auto"/>
      </w:divBdr>
    </w:div>
    <w:div w:id="1171139402">
      <w:bodyDiv w:val="1"/>
      <w:marLeft w:val="0"/>
      <w:marRight w:val="0"/>
      <w:marTop w:val="0"/>
      <w:marBottom w:val="0"/>
      <w:divBdr>
        <w:top w:val="none" w:sz="0" w:space="0" w:color="auto"/>
        <w:left w:val="none" w:sz="0" w:space="0" w:color="auto"/>
        <w:bottom w:val="none" w:sz="0" w:space="0" w:color="auto"/>
        <w:right w:val="none" w:sz="0" w:space="0" w:color="auto"/>
      </w:divBdr>
    </w:div>
    <w:div w:id="1172263514">
      <w:bodyDiv w:val="1"/>
      <w:marLeft w:val="0"/>
      <w:marRight w:val="0"/>
      <w:marTop w:val="0"/>
      <w:marBottom w:val="0"/>
      <w:divBdr>
        <w:top w:val="none" w:sz="0" w:space="0" w:color="auto"/>
        <w:left w:val="none" w:sz="0" w:space="0" w:color="auto"/>
        <w:bottom w:val="none" w:sz="0" w:space="0" w:color="auto"/>
        <w:right w:val="none" w:sz="0" w:space="0" w:color="auto"/>
      </w:divBdr>
    </w:div>
    <w:div w:id="1188057203">
      <w:bodyDiv w:val="1"/>
      <w:marLeft w:val="0"/>
      <w:marRight w:val="0"/>
      <w:marTop w:val="0"/>
      <w:marBottom w:val="0"/>
      <w:divBdr>
        <w:top w:val="none" w:sz="0" w:space="0" w:color="auto"/>
        <w:left w:val="none" w:sz="0" w:space="0" w:color="auto"/>
        <w:bottom w:val="none" w:sz="0" w:space="0" w:color="auto"/>
        <w:right w:val="none" w:sz="0" w:space="0" w:color="auto"/>
      </w:divBdr>
    </w:div>
    <w:div w:id="1192374477">
      <w:bodyDiv w:val="1"/>
      <w:marLeft w:val="0"/>
      <w:marRight w:val="0"/>
      <w:marTop w:val="0"/>
      <w:marBottom w:val="0"/>
      <w:divBdr>
        <w:top w:val="none" w:sz="0" w:space="0" w:color="auto"/>
        <w:left w:val="none" w:sz="0" w:space="0" w:color="auto"/>
        <w:bottom w:val="none" w:sz="0" w:space="0" w:color="auto"/>
        <w:right w:val="none" w:sz="0" w:space="0" w:color="auto"/>
      </w:divBdr>
    </w:div>
    <w:div w:id="1193180512">
      <w:bodyDiv w:val="1"/>
      <w:marLeft w:val="0"/>
      <w:marRight w:val="0"/>
      <w:marTop w:val="0"/>
      <w:marBottom w:val="0"/>
      <w:divBdr>
        <w:top w:val="none" w:sz="0" w:space="0" w:color="auto"/>
        <w:left w:val="none" w:sz="0" w:space="0" w:color="auto"/>
        <w:bottom w:val="none" w:sz="0" w:space="0" w:color="auto"/>
        <w:right w:val="none" w:sz="0" w:space="0" w:color="auto"/>
      </w:divBdr>
    </w:div>
    <w:div w:id="1194028931">
      <w:bodyDiv w:val="1"/>
      <w:marLeft w:val="0"/>
      <w:marRight w:val="0"/>
      <w:marTop w:val="0"/>
      <w:marBottom w:val="0"/>
      <w:divBdr>
        <w:top w:val="none" w:sz="0" w:space="0" w:color="auto"/>
        <w:left w:val="none" w:sz="0" w:space="0" w:color="auto"/>
        <w:bottom w:val="none" w:sz="0" w:space="0" w:color="auto"/>
        <w:right w:val="none" w:sz="0" w:space="0" w:color="auto"/>
      </w:divBdr>
    </w:div>
    <w:div w:id="1202202894">
      <w:bodyDiv w:val="1"/>
      <w:marLeft w:val="0"/>
      <w:marRight w:val="0"/>
      <w:marTop w:val="0"/>
      <w:marBottom w:val="0"/>
      <w:divBdr>
        <w:top w:val="none" w:sz="0" w:space="0" w:color="auto"/>
        <w:left w:val="none" w:sz="0" w:space="0" w:color="auto"/>
        <w:bottom w:val="none" w:sz="0" w:space="0" w:color="auto"/>
        <w:right w:val="none" w:sz="0" w:space="0" w:color="auto"/>
      </w:divBdr>
    </w:div>
    <w:div w:id="1202206139">
      <w:bodyDiv w:val="1"/>
      <w:marLeft w:val="0"/>
      <w:marRight w:val="0"/>
      <w:marTop w:val="0"/>
      <w:marBottom w:val="0"/>
      <w:divBdr>
        <w:top w:val="none" w:sz="0" w:space="0" w:color="auto"/>
        <w:left w:val="none" w:sz="0" w:space="0" w:color="auto"/>
        <w:bottom w:val="none" w:sz="0" w:space="0" w:color="auto"/>
        <w:right w:val="none" w:sz="0" w:space="0" w:color="auto"/>
      </w:divBdr>
    </w:div>
    <w:div w:id="1206912447">
      <w:bodyDiv w:val="1"/>
      <w:marLeft w:val="0"/>
      <w:marRight w:val="0"/>
      <w:marTop w:val="0"/>
      <w:marBottom w:val="0"/>
      <w:divBdr>
        <w:top w:val="none" w:sz="0" w:space="0" w:color="auto"/>
        <w:left w:val="none" w:sz="0" w:space="0" w:color="auto"/>
        <w:bottom w:val="none" w:sz="0" w:space="0" w:color="auto"/>
        <w:right w:val="none" w:sz="0" w:space="0" w:color="auto"/>
      </w:divBdr>
    </w:div>
    <w:div w:id="1208491748">
      <w:bodyDiv w:val="1"/>
      <w:marLeft w:val="0"/>
      <w:marRight w:val="0"/>
      <w:marTop w:val="0"/>
      <w:marBottom w:val="0"/>
      <w:divBdr>
        <w:top w:val="none" w:sz="0" w:space="0" w:color="auto"/>
        <w:left w:val="none" w:sz="0" w:space="0" w:color="auto"/>
        <w:bottom w:val="none" w:sz="0" w:space="0" w:color="auto"/>
        <w:right w:val="none" w:sz="0" w:space="0" w:color="auto"/>
      </w:divBdr>
      <w:divsChild>
        <w:div w:id="1558668672">
          <w:marLeft w:val="0"/>
          <w:marRight w:val="0"/>
          <w:marTop w:val="0"/>
          <w:marBottom w:val="0"/>
          <w:divBdr>
            <w:top w:val="none" w:sz="0" w:space="0" w:color="auto"/>
            <w:left w:val="none" w:sz="0" w:space="0" w:color="auto"/>
            <w:bottom w:val="none" w:sz="0" w:space="0" w:color="auto"/>
            <w:right w:val="none" w:sz="0" w:space="0" w:color="auto"/>
          </w:divBdr>
        </w:div>
        <w:div w:id="2002656917">
          <w:marLeft w:val="0"/>
          <w:marRight w:val="0"/>
          <w:marTop w:val="0"/>
          <w:marBottom w:val="0"/>
          <w:divBdr>
            <w:top w:val="none" w:sz="0" w:space="0" w:color="auto"/>
            <w:left w:val="none" w:sz="0" w:space="0" w:color="auto"/>
            <w:bottom w:val="none" w:sz="0" w:space="0" w:color="auto"/>
            <w:right w:val="none" w:sz="0" w:space="0" w:color="auto"/>
          </w:divBdr>
        </w:div>
      </w:divsChild>
    </w:div>
    <w:div w:id="1213031326">
      <w:bodyDiv w:val="1"/>
      <w:marLeft w:val="0"/>
      <w:marRight w:val="0"/>
      <w:marTop w:val="0"/>
      <w:marBottom w:val="0"/>
      <w:divBdr>
        <w:top w:val="none" w:sz="0" w:space="0" w:color="auto"/>
        <w:left w:val="none" w:sz="0" w:space="0" w:color="auto"/>
        <w:bottom w:val="none" w:sz="0" w:space="0" w:color="auto"/>
        <w:right w:val="none" w:sz="0" w:space="0" w:color="auto"/>
      </w:divBdr>
    </w:div>
    <w:div w:id="1214541330">
      <w:bodyDiv w:val="1"/>
      <w:marLeft w:val="0"/>
      <w:marRight w:val="0"/>
      <w:marTop w:val="0"/>
      <w:marBottom w:val="0"/>
      <w:divBdr>
        <w:top w:val="none" w:sz="0" w:space="0" w:color="auto"/>
        <w:left w:val="none" w:sz="0" w:space="0" w:color="auto"/>
        <w:bottom w:val="none" w:sz="0" w:space="0" w:color="auto"/>
        <w:right w:val="none" w:sz="0" w:space="0" w:color="auto"/>
      </w:divBdr>
    </w:div>
    <w:div w:id="1217858309">
      <w:bodyDiv w:val="1"/>
      <w:marLeft w:val="0"/>
      <w:marRight w:val="0"/>
      <w:marTop w:val="0"/>
      <w:marBottom w:val="0"/>
      <w:divBdr>
        <w:top w:val="none" w:sz="0" w:space="0" w:color="auto"/>
        <w:left w:val="none" w:sz="0" w:space="0" w:color="auto"/>
        <w:bottom w:val="none" w:sz="0" w:space="0" w:color="auto"/>
        <w:right w:val="none" w:sz="0" w:space="0" w:color="auto"/>
      </w:divBdr>
    </w:div>
    <w:div w:id="1218084243">
      <w:bodyDiv w:val="1"/>
      <w:marLeft w:val="0"/>
      <w:marRight w:val="0"/>
      <w:marTop w:val="0"/>
      <w:marBottom w:val="0"/>
      <w:divBdr>
        <w:top w:val="none" w:sz="0" w:space="0" w:color="auto"/>
        <w:left w:val="none" w:sz="0" w:space="0" w:color="auto"/>
        <w:bottom w:val="none" w:sz="0" w:space="0" w:color="auto"/>
        <w:right w:val="none" w:sz="0" w:space="0" w:color="auto"/>
      </w:divBdr>
    </w:div>
    <w:div w:id="1223911701">
      <w:bodyDiv w:val="1"/>
      <w:marLeft w:val="0"/>
      <w:marRight w:val="0"/>
      <w:marTop w:val="0"/>
      <w:marBottom w:val="0"/>
      <w:divBdr>
        <w:top w:val="none" w:sz="0" w:space="0" w:color="auto"/>
        <w:left w:val="none" w:sz="0" w:space="0" w:color="auto"/>
        <w:bottom w:val="none" w:sz="0" w:space="0" w:color="auto"/>
        <w:right w:val="none" w:sz="0" w:space="0" w:color="auto"/>
      </w:divBdr>
    </w:div>
    <w:div w:id="1224173783">
      <w:bodyDiv w:val="1"/>
      <w:marLeft w:val="0"/>
      <w:marRight w:val="0"/>
      <w:marTop w:val="0"/>
      <w:marBottom w:val="0"/>
      <w:divBdr>
        <w:top w:val="none" w:sz="0" w:space="0" w:color="auto"/>
        <w:left w:val="none" w:sz="0" w:space="0" w:color="auto"/>
        <w:bottom w:val="none" w:sz="0" w:space="0" w:color="auto"/>
        <w:right w:val="none" w:sz="0" w:space="0" w:color="auto"/>
      </w:divBdr>
    </w:div>
    <w:div w:id="1224489605">
      <w:bodyDiv w:val="1"/>
      <w:marLeft w:val="0"/>
      <w:marRight w:val="0"/>
      <w:marTop w:val="0"/>
      <w:marBottom w:val="0"/>
      <w:divBdr>
        <w:top w:val="none" w:sz="0" w:space="0" w:color="auto"/>
        <w:left w:val="none" w:sz="0" w:space="0" w:color="auto"/>
        <w:bottom w:val="none" w:sz="0" w:space="0" w:color="auto"/>
        <w:right w:val="none" w:sz="0" w:space="0" w:color="auto"/>
      </w:divBdr>
    </w:div>
    <w:div w:id="1232278784">
      <w:bodyDiv w:val="1"/>
      <w:marLeft w:val="0"/>
      <w:marRight w:val="0"/>
      <w:marTop w:val="0"/>
      <w:marBottom w:val="0"/>
      <w:divBdr>
        <w:top w:val="none" w:sz="0" w:space="0" w:color="auto"/>
        <w:left w:val="none" w:sz="0" w:space="0" w:color="auto"/>
        <w:bottom w:val="none" w:sz="0" w:space="0" w:color="auto"/>
        <w:right w:val="none" w:sz="0" w:space="0" w:color="auto"/>
      </w:divBdr>
    </w:div>
    <w:div w:id="1235893430">
      <w:bodyDiv w:val="1"/>
      <w:marLeft w:val="0"/>
      <w:marRight w:val="0"/>
      <w:marTop w:val="0"/>
      <w:marBottom w:val="0"/>
      <w:divBdr>
        <w:top w:val="none" w:sz="0" w:space="0" w:color="auto"/>
        <w:left w:val="none" w:sz="0" w:space="0" w:color="auto"/>
        <w:bottom w:val="none" w:sz="0" w:space="0" w:color="auto"/>
        <w:right w:val="none" w:sz="0" w:space="0" w:color="auto"/>
      </w:divBdr>
    </w:div>
    <w:div w:id="1239287709">
      <w:bodyDiv w:val="1"/>
      <w:marLeft w:val="0"/>
      <w:marRight w:val="0"/>
      <w:marTop w:val="0"/>
      <w:marBottom w:val="0"/>
      <w:divBdr>
        <w:top w:val="none" w:sz="0" w:space="0" w:color="auto"/>
        <w:left w:val="none" w:sz="0" w:space="0" w:color="auto"/>
        <w:bottom w:val="none" w:sz="0" w:space="0" w:color="auto"/>
        <w:right w:val="none" w:sz="0" w:space="0" w:color="auto"/>
      </w:divBdr>
    </w:div>
    <w:div w:id="1240869728">
      <w:bodyDiv w:val="1"/>
      <w:marLeft w:val="0"/>
      <w:marRight w:val="0"/>
      <w:marTop w:val="0"/>
      <w:marBottom w:val="0"/>
      <w:divBdr>
        <w:top w:val="none" w:sz="0" w:space="0" w:color="auto"/>
        <w:left w:val="none" w:sz="0" w:space="0" w:color="auto"/>
        <w:bottom w:val="none" w:sz="0" w:space="0" w:color="auto"/>
        <w:right w:val="none" w:sz="0" w:space="0" w:color="auto"/>
      </w:divBdr>
    </w:div>
    <w:div w:id="1241865694">
      <w:bodyDiv w:val="1"/>
      <w:marLeft w:val="0"/>
      <w:marRight w:val="0"/>
      <w:marTop w:val="0"/>
      <w:marBottom w:val="0"/>
      <w:divBdr>
        <w:top w:val="none" w:sz="0" w:space="0" w:color="auto"/>
        <w:left w:val="none" w:sz="0" w:space="0" w:color="auto"/>
        <w:bottom w:val="none" w:sz="0" w:space="0" w:color="auto"/>
        <w:right w:val="none" w:sz="0" w:space="0" w:color="auto"/>
      </w:divBdr>
    </w:div>
    <w:div w:id="1245651761">
      <w:bodyDiv w:val="1"/>
      <w:marLeft w:val="0"/>
      <w:marRight w:val="0"/>
      <w:marTop w:val="0"/>
      <w:marBottom w:val="0"/>
      <w:divBdr>
        <w:top w:val="none" w:sz="0" w:space="0" w:color="auto"/>
        <w:left w:val="none" w:sz="0" w:space="0" w:color="auto"/>
        <w:bottom w:val="none" w:sz="0" w:space="0" w:color="auto"/>
        <w:right w:val="none" w:sz="0" w:space="0" w:color="auto"/>
      </w:divBdr>
    </w:div>
    <w:div w:id="1248420982">
      <w:bodyDiv w:val="1"/>
      <w:marLeft w:val="0"/>
      <w:marRight w:val="0"/>
      <w:marTop w:val="0"/>
      <w:marBottom w:val="0"/>
      <w:divBdr>
        <w:top w:val="none" w:sz="0" w:space="0" w:color="auto"/>
        <w:left w:val="none" w:sz="0" w:space="0" w:color="auto"/>
        <w:bottom w:val="none" w:sz="0" w:space="0" w:color="auto"/>
        <w:right w:val="none" w:sz="0" w:space="0" w:color="auto"/>
      </w:divBdr>
    </w:div>
    <w:div w:id="1253122876">
      <w:bodyDiv w:val="1"/>
      <w:marLeft w:val="0"/>
      <w:marRight w:val="0"/>
      <w:marTop w:val="0"/>
      <w:marBottom w:val="0"/>
      <w:divBdr>
        <w:top w:val="none" w:sz="0" w:space="0" w:color="auto"/>
        <w:left w:val="none" w:sz="0" w:space="0" w:color="auto"/>
        <w:bottom w:val="none" w:sz="0" w:space="0" w:color="auto"/>
        <w:right w:val="none" w:sz="0" w:space="0" w:color="auto"/>
      </w:divBdr>
    </w:div>
    <w:div w:id="1255553987">
      <w:bodyDiv w:val="1"/>
      <w:marLeft w:val="0"/>
      <w:marRight w:val="0"/>
      <w:marTop w:val="0"/>
      <w:marBottom w:val="0"/>
      <w:divBdr>
        <w:top w:val="none" w:sz="0" w:space="0" w:color="auto"/>
        <w:left w:val="none" w:sz="0" w:space="0" w:color="auto"/>
        <w:bottom w:val="none" w:sz="0" w:space="0" w:color="auto"/>
        <w:right w:val="none" w:sz="0" w:space="0" w:color="auto"/>
      </w:divBdr>
      <w:divsChild>
        <w:div w:id="1140463966">
          <w:marLeft w:val="0"/>
          <w:marRight w:val="0"/>
          <w:marTop w:val="0"/>
          <w:marBottom w:val="0"/>
          <w:divBdr>
            <w:top w:val="none" w:sz="0" w:space="0" w:color="auto"/>
            <w:left w:val="none" w:sz="0" w:space="0" w:color="auto"/>
            <w:bottom w:val="none" w:sz="0" w:space="0" w:color="auto"/>
            <w:right w:val="none" w:sz="0" w:space="0" w:color="auto"/>
          </w:divBdr>
        </w:div>
        <w:div w:id="2112847265">
          <w:marLeft w:val="0"/>
          <w:marRight w:val="0"/>
          <w:marTop w:val="0"/>
          <w:marBottom w:val="0"/>
          <w:divBdr>
            <w:top w:val="none" w:sz="0" w:space="0" w:color="auto"/>
            <w:left w:val="none" w:sz="0" w:space="0" w:color="auto"/>
            <w:bottom w:val="none" w:sz="0" w:space="0" w:color="auto"/>
            <w:right w:val="none" w:sz="0" w:space="0" w:color="auto"/>
          </w:divBdr>
        </w:div>
      </w:divsChild>
    </w:div>
    <w:div w:id="1260065910">
      <w:bodyDiv w:val="1"/>
      <w:marLeft w:val="0"/>
      <w:marRight w:val="0"/>
      <w:marTop w:val="0"/>
      <w:marBottom w:val="0"/>
      <w:divBdr>
        <w:top w:val="none" w:sz="0" w:space="0" w:color="auto"/>
        <w:left w:val="none" w:sz="0" w:space="0" w:color="auto"/>
        <w:bottom w:val="none" w:sz="0" w:space="0" w:color="auto"/>
        <w:right w:val="none" w:sz="0" w:space="0" w:color="auto"/>
      </w:divBdr>
    </w:div>
    <w:div w:id="1263763029">
      <w:bodyDiv w:val="1"/>
      <w:marLeft w:val="0"/>
      <w:marRight w:val="0"/>
      <w:marTop w:val="0"/>
      <w:marBottom w:val="0"/>
      <w:divBdr>
        <w:top w:val="none" w:sz="0" w:space="0" w:color="auto"/>
        <w:left w:val="none" w:sz="0" w:space="0" w:color="auto"/>
        <w:bottom w:val="none" w:sz="0" w:space="0" w:color="auto"/>
        <w:right w:val="none" w:sz="0" w:space="0" w:color="auto"/>
      </w:divBdr>
      <w:divsChild>
        <w:div w:id="533618957">
          <w:marLeft w:val="446"/>
          <w:marRight w:val="0"/>
          <w:marTop w:val="0"/>
          <w:marBottom w:val="0"/>
          <w:divBdr>
            <w:top w:val="none" w:sz="0" w:space="0" w:color="auto"/>
            <w:left w:val="none" w:sz="0" w:space="0" w:color="auto"/>
            <w:bottom w:val="none" w:sz="0" w:space="0" w:color="auto"/>
            <w:right w:val="none" w:sz="0" w:space="0" w:color="auto"/>
          </w:divBdr>
        </w:div>
        <w:div w:id="581766860">
          <w:marLeft w:val="446"/>
          <w:marRight w:val="0"/>
          <w:marTop w:val="0"/>
          <w:marBottom w:val="0"/>
          <w:divBdr>
            <w:top w:val="none" w:sz="0" w:space="0" w:color="auto"/>
            <w:left w:val="none" w:sz="0" w:space="0" w:color="auto"/>
            <w:bottom w:val="none" w:sz="0" w:space="0" w:color="auto"/>
            <w:right w:val="none" w:sz="0" w:space="0" w:color="auto"/>
          </w:divBdr>
        </w:div>
        <w:div w:id="625234099">
          <w:marLeft w:val="446"/>
          <w:marRight w:val="0"/>
          <w:marTop w:val="0"/>
          <w:marBottom w:val="0"/>
          <w:divBdr>
            <w:top w:val="none" w:sz="0" w:space="0" w:color="auto"/>
            <w:left w:val="none" w:sz="0" w:space="0" w:color="auto"/>
            <w:bottom w:val="none" w:sz="0" w:space="0" w:color="auto"/>
            <w:right w:val="none" w:sz="0" w:space="0" w:color="auto"/>
          </w:divBdr>
        </w:div>
        <w:div w:id="691154505">
          <w:marLeft w:val="446"/>
          <w:marRight w:val="0"/>
          <w:marTop w:val="0"/>
          <w:marBottom w:val="0"/>
          <w:divBdr>
            <w:top w:val="none" w:sz="0" w:space="0" w:color="auto"/>
            <w:left w:val="none" w:sz="0" w:space="0" w:color="auto"/>
            <w:bottom w:val="none" w:sz="0" w:space="0" w:color="auto"/>
            <w:right w:val="none" w:sz="0" w:space="0" w:color="auto"/>
          </w:divBdr>
        </w:div>
        <w:div w:id="781925230">
          <w:marLeft w:val="446"/>
          <w:marRight w:val="0"/>
          <w:marTop w:val="0"/>
          <w:marBottom w:val="0"/>
          <w:divBdr>
            <w:top w:val="none" w:sz="0" w:space="0" w:color="auto"/>
            <w:left w:val="none" w:sz="0" w:space="0" w:color="auto"/>
            <w:bottom w:val="none" w:sz="0" w:space="0" w:color="auto"/>
            <w:right w:val="none" w:sz="0" w:space="0" w:color="auto"/>
          </w:divBdr>
        </w:div>
        <w:div w:id="819619066">
          <w:marLeft w:val="446"/>
          <w:marRight w:val="0"/>
          <w:marTop w:val="0"/>
          <w:marBottom w:val="0"/>
          <w:divBdr>
            <w:top w:val="none" w:sz="0" w:space="0" w:color="auto"/>
            <w:left w:val="none" w:sz="0" w:space="0" w:color="auto"/>
            <w:bottom w:val="none" w:sz="0" w:space="0" w:color="auto"/>
            <w:right w:val="none" w:sz="0" w:space="0" w:color="auto"/>
          </w:divBdr>
        </w:div>
        <w:div w:id="886599866">
          <w:marLeft w:val="446"/>
          <w:marRight w:val="0"/>
          <w:marTop w:val="0"/>
          <w:marBottom w:val="0"/>
          <w:divBdr>
            <w:top w:val="none" w:sz="0" w:space="0" w:color="auto"/>
            <w:left w:val="none" w:sz="0" w:space="0" w:color="auto"/>
            <w:bottom w:val="none" w:sz="0" w:space="0" w:color="auto"/>
            <w:right w:val="none" w:sz="0" w:space="0" w:color="auto"/>
          </w:divBdr>
        </w:div>
        <w:div w:id="1340087536">
          <w:marLeft w:val="446"/>
          <w:marRight w:val="0"/>
          <w:marTop w:val="0"/>
          <w:marBottom w:val="0"/>
          <w:divBdr>
            <w:top w:val="none" w:sz="0" w:space="0" w:color="auto"/>
            <w:left w:val="none" w:sz="0" w:space="0" w:color="auto"/>
            <w:bottom w:val="none" w:sz="0" w:space="0" w:color="auto"/>
            <w:right w:val="none" w:sz="0" w:space="0" w:color="auto"/>
          </w:divBdr>
        </w:div>
        <w:div w:id="1377391899">
          <w:marLeft w:val="446"/>
          <w:marRight w:val="0"/>
          <w:marTop w:val="0"/>
          <w:marBottom w:val="0"/>
          <w:divBdr>
            <w:top w:val="none" w:sz="0" w:space="0" w:color="auto"/>
            <w:left w:val="none" w:sz="0" w:space="0" w:color="auto"/>
            <w:bottom w:val="none" w:sz="0" w:space="0" w:color="auto"/>
            <w:right w:val="none" w:sz="0" w:space="0" w:color="auto"/>
          </w:divBdr>
        </w:div>
        <w:div w:id="1477869378">
          <w:marLeft w:val="446"/>
          <w:marRight w:val="0"/>
          <w:marTop w:val="0"/>
          <w:marBottom w:val="0"/>
          <w:divBdr>
            <w:top w:val="none" w:sz="0" w:space="0" w:color="auto"/>
            <w:left w:val="none" w:sz="0" w:space="0" w:color="auto"/>
            <w:bottom w:val="none" w:sz="0" w:space="0" w:color="auto"/>
            <w:right w:val="none" w:sz="0" w:space="0" w:color="auto"/>
          </w:divBdr>
        </w:div>
        <w:div w:id="1500001954">
          <w:marLeft w:val="446"/>
          <w:marRight w:val="0"/>
          <w:marTop w:val="0"/>
          <w:marBottom w:val="0"/>
          <w:divBdr>
            <w:top w:val="none" w:sz="0" w:space="0" w:color="auto"/>
            <w:left w:val="none" w:sz="0" w:space="0" w:color="auto"/>
            <w:bottom w:val="none" w:sz="0" w:space="0" w:color="auto"/>
            <w:right w:val="none" w:sz="0" w:space="0" w:color="auto"/>
          </w:divBdr>
        </w:div>
        <w:div w:id="1548031248">
          <w:marLeft w:val="446"/>
          <w:marRight w:val="0"/>
          <w:marTop w:val="0"/>
          <w:marBottom w:val="0"/>
          <w:divBdr>
            <w:top w:val="none" w:sz="0" w:space="0" w:color="auto"/>
            <w:left w:val="none" w:sz="0" w:space="0" w:color="auto"/>
            <w:bottom w:val="none" w:sz="0" w:space="0" w:color="auto"/>
            <w:right w:val="none" w:sz="0" w:space="0" w:color="auto"/>
          </w:divBdr>
        </w:div>
        <w:div w:id="1653024188">
          <w:marLeft w:val="446"/>
          <w:marRight w:val="0"/>
          <w:marTop w:val="0"/>
          <w:marBottom w:val="0"/>
          <w:divBdr>
            <w:top w:val="none" w:sz="0" w:space="0" w:color="auto"/>
            <w:left w:val="none" w:sz="0" w:space="0" w:color="auto"/>
            <w:bottom w:val="none" w:sz="0" w:space="0" w:color="auto"/>
            <w:right w:val="none" w:sz="0" w:space="0" w:color="auto"/>
          </w:divBdr>
        </w:div>
      </w:divsChild>
    </w:div>
    <w:div w:id="1272126634">
      <w:bodyDiv w:val="1"/>
      <w:marLeft w:val="0"/>
      <w:marRight w:val="0"/>
      <w:marTop w:val="0"/>
      <w:marBottom w:val="0"/>
      <w:divBdr>
        <w:top w:val="none" w:sz="0" w:space="0" w:color="auto"/>
        <w:left w:val="none" w:sz="0" w:space="0" w:color="auto"/>
        <w:bottom w:val="none" w:sz="0" w:space="0" w:color="auto"/>
        <w:right w:val="none" w:sz="0" w:space="0" w:color="auto"/>
      </w:divBdr>
    </w:div>
    <w:div w:id="1272513229">
      <w:bodyDiv w:val="1"/>
      <w:marLeft w:val="0"/>
      <w:marRight w:val="0"/>
      <w:marTop w:val="0"/>
      <w:marBottom w:val="0"/>
      <w:divBdr>
        <w:top w:val="none" w:sz="0" w:space="0" w:color="auto"/>
        <w:left w:val="none" w:sz="0" w:space="0" w:color="auto"/>
        <w:bottom w:val="none" w:sz="0" w:space="0" w:color="auto"/>
        <w:right w:val="none" w:sz="0" w:space="0" w:color="auto"/>
      </w:divBdr>
    </w:div>
    <w:div w:id="1274553325">
      <w:bodyDiv w:val="1"/>
      <w:marLeft w:val="0"/>
      <w:marRight w:val="0"/>
      <w:marTop w:val="0"/>
      <w:marBottom w:val="0"/>
      <w:divBdr>
        <w:top w:val="none" w:sz="0" w:space="0" w:color="auto"/>
        <w:left w:val="none" w:sz="0" w:space="0" w:color="auto"/>
        <w:bottom w:val="none" w:sz="0" w:space="0" w:color="auto"/>
        <w:right w:val="none" w:sz="0" w:space="0" w:color="auto"/>
      </w:divBdr>
    </w:div>
    <w:div w:id="1275016468">
      <w:bodyDiv w:val="1"/>
      <w:marLeft w:val="0"/>
      <w:marRight w:val="0"/>
      <w:marTop w:val="0"/>
      <w:marBottom w:val="0"/>
      <w:divBdr>
        <w:top w:val="none" w:sz="0" w:space="0" w:color="auto"/>
        <w:left w:val="none" w:sz="0" w:space="0" w:color="auto"/>
        <w:bottom w:val="none" w:sz="0" w:space="0" w:color="auto"/>
        <w:right w:val="none" w:sz="0" w:space="0" w:color="auto"/>
      </w:divBdr>
    </w:div>
    <w:div w:id="1280264225">
      <w:bodyDiv w:val="1"/>
      <w:marLeft w:val="0"/>
      <w:marRight w:val="0"/>
      <w:marTop w:val="0"/>
      <w:marBottom w:val="0"/>
      <w:divBdr>
        <w:top w:val="none" w:sz="0" w:space="0" w:color="auto"/>
        <w:left w:val="none" w:sz="0" w:space="0" w:color="auto"/>
        <w:bottom w:val="none" w:sz="0" w:space="0" w:color="auto"/>
        <w:right w:val="none" w:sz="0" w:space="0" w:color="auto"/>
      </w:divBdr>
    </w:div>
    <w:div w:id="1287589432">
      <w:bodyDiv w:val="1"/>
      <w:marLeft w:val="0"/>
      <w:marRight w:val="0"/>
      <w:marTop w:val="0"/>
      <w:marBottom w:val="0"/>
      <w:divBdr>
        <w:top w:val="none" w:sz="0" w:space="0" w:color="auto"/>
        <w:left w:val="none" w:sz="0" w:space="0" w:color="auto"/>
        <w:bottom w:val="none" w:sz="0" w:space="0" w:color="auto"/>
        <w:right w:val="none" w:sz="0" w:space="0" w:color="auto"/>
      </w:divBdr>
    </w:div>
    <w:div w:id="1289436852">
      <w:bodyDiv w:val="1"/>
      <w:marLeft w:val="0"/>
      <w:marRight w:val="0"/>
      <w:marTop w:val="0"/>
      <w:marBottom w:val="0"/>
      <w:divBdr>
        <w:top w:val="none" w:sz="0" w:space="0" w:color="auto"/>
        <w:left w:val="none" w:sz="0" w:space="0" w:color="auto"/>
        <w:bottom w:val="none" w:sz="0" w:space="0" w:color="auto"/>
        <w:right w:val="none" w:sz="0" w:space="0" w:color="auto"/>
      </w:divBdr>
    </w:div>
    <w:div w:id="1302420030">
      <w:bodyDiv w:val="1"/>
      <w:marLeft w:val="0"/>
      <w:marRight w:val="0"/>
      <w:marTop w:val="0"/>
      <w:marBottom w:val="0"/>
      <w:divBdr>
        <w:top w:val="none" w:sz="0" w:space="0" w:color="auto"/>
        <w:left w:val="none" w:sz="0" w:space="0" w:color="auto"/>
        <w:bottom w:val="none" w:sz="0" w:space="0" w:color="auto"/>
        <w:right w:val="none" w:sz="0" w:space="0" w:color="auto"/>
      </w:divBdr>
    </w:div>
    <w:div w:id="1307782044">
      <w:bodyDiv w:val="1"/>
      <w:marLeft w:val="0"/>
      <w:marRight w:val="0"/>
      <w:marTop w:val="0"/>
      <w:marBottom w:val="0"/>
      <w:divBdr>
        <w:top w:val="none" w:sz="0" w:space="0" w:color="auto"/>
        <w:left w:val="none" w:sz="0" w:space="0" w:color="auto"/>
        <w:bottom w:val="none" w:sz="0" w:space="0" w:color="auto"/>
        <w:right w:val="none" w:sz="0" w:space="0" w:color="auto"/>
      </w:divBdr>
    </w:div>
    <w:div w:id="1310790871">
      <w:bodyDiv w:val="1"/>
      <w:marLeft w:val="0"/>
      <w:marRight w:val="0"/>
      <w:marTop w:val="0"/>
      <w:marBottom w:val="0"/>
      <w:divBdr>
        <w:top w:val="none" w:sz="0" w:space="0" w:color="auto"/>
        <w:left w:val="none" w:sz="0" w:space="0" w:color="auto"/>
        <w:bottom w:val="none" w:sz="0" w:space="0" w:color="auto"/>
        <w:right w:val="none" w:sz="0" w:space="0" w:color="auto"/>
      </w:divBdr>
    </w:div>
    <w:div w:id="1312177004">
      <w:bodyDiv w:val="1"/>
      <w:marLeft w:val="0"/>
      <w:marRight w:val="0"/>
      <w:marTop w:val="0"/>
      <w:marBottom w:val="0"/>
      <w:divBdr>
        <w:top w:val="none" w:sz="0" w:space="0" w:color="auto"/>
        <w:left w:val="none" w:sz="0" w:space="0" w:color="auto"/>
        <w:bottom w:val="none" w:sz="0" w:space="0" w:color="auto"/>
        <w:right w:val="none" w:sz="0" w:space="0" w:color="auto"/>
      </w:divBdr>
    </w:div>
    <w:div w:id="1312365207">
      <w:bodyDiv w:val="1"/>
      <w:marLeft w:val="0"/>
      <w:marRight w:val="0"/>
      <w:marTop w:val="0"/>
      <w:marBottom w:val="0"/>
      <w:divBdr>
        <w:top w:val="none" w:sz="0" w:space="0" w:color="auto"/>
        <w:left w:val="none" w:sz="0" w:space="0" w:color="auto"/>
        <w:bottom w:val="none" w:sz="0" w:space="0" w:color="auto"/>
        <w:right w:val="none" w:sz="0" w:space="0" w:color="auto"/>
      </w:divBdr>
    </w:div>
    <w:div w:id="1317689623">
      <w:bodyDiv w:val="1"/>
      <w:marLeft w:val="0"/>
      <w:marRight w:val="0"/>
      <w:marTop w:val="0"/>
      <w:marBottom w:val="0"/>
      <w:divBdr>
        <w:top w:val="none" w:sz="0" w:space="0" w:color="auto"/>
        <w:left w:val="none" w:sz="0" w:space="0" w:color="auto"/>
        <w:bottom w:val="none" w:sz="0" w:space="0" w:color="auto"/>
        <w:right w:val="none" w:sz="0" w:space="0" w:color="auto"/>
      </w:divBdr>
    </w:div>
    <w:div w:id="1319771583">
      <w:bodyDiv w:val="1"/>
      <w:marLeft w:val="0"/>
      <w:marRight w:val="0"/>
      <w:marTop w:val="0"/>
      <w:marBottom w:val="0"/>
      <w:divBdr>
        <w:top w:val="none" w:sz="0" w:space="0" w:color="auto"/>
        <w:left w:val="none" w:sz="0" w:space="0" w:color="auto"/>
        <w:bottom w:val="none" w:sz="0" w:space="0" w:color="auto"/>
        <w:right w:val="none" w:sz="0" w:space="0" w:color="auto"/>
      </w:divBdr>
    </w:div>
    <w:div w:id="1320227698">
      <w:bodyDiv w:val="1"/>
      <w:marLeft w:val="0"/>
      <w:marRight w:val="0"/>
      <w:marTop w:val="0"/>
      <w:marBottom w:val="0"/>
      <w:divBdr>
        <w:top w:val="none" w:sz="0" w:space="0" w:color="auto"/>
        <w:left w:val="none" w:sz="0" w:space="0" w:color="auto"/>
        <w:bottom w:val="none" w:sz="0" w:space="0" w:color="auto"/>
        <w:right w:val="none" w:sz="0" w:space="0" w:color="auto"/>
      </w:divBdr>
    </w:div>
    <w:div w:id="1321612632">
      <w:bodyDiv w:val="1"/>
      <w:marLeft w:val="0"/>
      <w:marRight w:val="0"/>
      <w:marTop w:val="0"/>
      <w:marBottom w:val="0"/>
      <w:divBdr>
        <w:top w:val="none" w:sz="0" w:space="0" w:color="auto"/>
        <w:left w:val="none" w:sz="0" w:space="0" w:color="auto"/>
        <w:bottom w:val="none" w:sz="0" w:space="0" w:color="auto"/>
        <w:right w:val="none" w:sz="0" w:space="0" w:color="auto"/>
      </w:divBdr>
    </w:div>
    <w:div w:id="1323965114">
      <w:bodyDiv w:val="1"/>
      <w:marLeft w:val="0"/>
      <w:marRight w:val="0"/>
      <w:marTop w:val="0"/>
      <w:marBottom w:val="0"/>
      <w:divBdr>
        <w:top w:val="none" w:sz="0" w:space="0" w:color="auto"/>
        <w:left w:val="none" w:sz="0" w:space="0" w:color="auto"/>
        <w:bottom w:val="none" w:sz="0" w:space="0" w:color="auto"/>
        <w:right w:val="none" w:sz="0" w:space="0" w:color="auto"/>
      </w:divBdr>
    </w:div>
    <w:div w:id="1326669127">
      <w:bodyDiv w:val="1"/>
      <w:marLeft w:val="0"/>
      <w:marRight w:val="0"/>
      <w:marTop w:val="0"/>
      <w:marBottom w:val="0"/>
      <w:divBdr>
        <w:top w:val="none" w:sz="0" w:space="0" w:color="auto"/>
        <w:left w:val="none" w:sz="0" w:space="0" w:color="auto"/>
        <w:bottom w:val="none" w:sz="0" w:space="0" w:color="auto"/>
        <w:right w:val="none" w:sz="0" w:space="0" w:color="auto"/>
      </w:divBdr>
    </w:div>
    <w:div w:id="1332676998">
      <w:bodyDiv w:val="1"/>
      <w:marLeft w:val="0"/>
      <w:marRight w:val="0"/>
      <w:marTop w:val="0"/>
      <w:marBottom w:val="0"/>
      <w:divBdr>
        <w:top w:val="none" w:sz="0" w:space="0" w:color="auto"/>
        <w:left w:val="none" w:sz="0" w:space="0" w:color="auto"/>
        <w:bottom w:val="none" w:sz="0" w:space="0" w:color="auto"/>
        <w:right w:val="none" w:sz="0" w:space="0" w:color="auto"/>
      </w:divBdr>
    </w:div>
    <w:div w:id="1334454590">
      <w:bodyDiv w:val="1"/>
      <w:marLeft w:val="0"/>
      <w:marRight w:val="0"/>
      <w:marTop w:val="0"/>
      <w:marBottom w:val="0"/>
      <w:divBdr>
        <w:top w:val="none" w:sz="0" w:space="0" w:color="auto"/>
        <w:left w:val="none" w:sz="0" w:space="0" w:color="auto"/>
        <w:bottom w:val="none" w:sz="0" w:space="0" w:color="auto"/>
        <w:right w:val="none" w:sz="0" w:space="0" w:color="auto"/>
      </w:divBdr>
    </w:div>
    <w:div w:id="1337030780">
      <w:bodyDiv w:val="1"/>
      <w:marLeft w:val="0"/>
      <w:marRight w:val="0"/>
      <w:marTop w:val="0"/>
      <w:marBottom w:val="0"/>
      <w:divBdr>
        <w:top w:val="none" w:sz="0" w:space="0" w:color="auto"/>
        <w:left w:val="none" w:sz="0" w:space="0" w:color="auto"/>
        <w:bottom w:val="none" w:sz="0" w:space="0" w:color="auto"/>
        <w:right w:val="none" w:sz="0" w:space="0" w:color="auto"/>
      </w:divBdr>
    </w:div>
    <w:div w:id="1340427013">
      <w:bodyDiv w:val="1"/>
      <w:marLeft w:val="0"/>
      <w:marRight w:val="0"/>
      <w:marTop w:val="0"/>
      <w:marBottom w:val="0"/>
      <w:divBdr>
        <w:top w:val="none" w:sz="0" w:space="0" w:color="auto"/>
        <w:left w:val="none" w:sz="0" w:space="0" w:color="auto"/>
        <w:bottom w:val="none" w:sz="0" w:space="0" w:color="auto"/>
        <w:right w:val="none" w:sz="0" w:space="0" w:color="auto"/>
      </w:divBdr>
    </w:div>
    <w:div w:id="1357392339">
      <w:bodyDiv w:val="1"/>
      <w:marLeft w:val="0"/>
      <w:marRight w:val="0"/>
      <w:marTop w:val="0"/>
      <w:marBottom w:val="0"/>
      <w:divBdr>
        <w:top w:val="none" w:sz="0" w:space="0" w:color="auto"/>
        <w:left w:val="none" w:sz="0" w:space="0" w:color="auto"/>
        <w:bottom w:val="none" w:sz="0" w:space="0" w:color="auto"/>
        <w:right w:val="none" w:sz="0" w:space="0" w:color="auto"/>
      </w:divBdr>
    </w:div>
    <w:div w:id="1359500142">
      <w:bodyDiv w:val="1"/>
      <w:marLeft w:val="0"/>
      <w:marRight w:val="0"/>
      <w:marTop w:val="0"/>
      <w:marBottom w:val="0"/>
      <w:divBdr>
        <w:top w:val="none" w:sz="0" w:space="0" w:color="auto"/>
        <w:left w:val="none" w:sz="0" w:space="0" w:color="auto"/>
        <w:bottom w:val="none" w:sz="0" w:space="0" w:color="auto"/>
        <w:right w:val="none" w:sz="0" w:space="0" w:color="auto"/>
      </w:divBdr>
    </w:div>
    <w:div w:id="1366104353">
      <w:bodyDiv w:val="1"/>
      <w:marLeft w:val="0"/>
      <w:marRight w:val="0"/>
      <w:marTop w:val="0"/>
      <w:marBottom w:val="0"/>
      <w:divBdr>
        <w:top w:val="none" w:sz="0" w:space="0" w:color="auto"/>
        <w:left w:val="none" w:sz="0" w:space="0" w:color="auto"/>
        <w:bottom w:val="none" w:sz="0" w:space="0" w:color="auto"/>
        <w:right w:val="none" w:sz="0" w:space="0" w:color="auto"/>
      </w:divBdr>
    </w:div>
    <w:div w:id="1368876250">
      <w:bodyDiv w:val="1"/>
      <w:marLeft w:val="0"/>
      <w:marRight w:val="0"/>
      <w:marTop w:val="0"/>
      <w:marBottom w:val="0"/>
      <w:divBdr>
        <w:top w:val="none" w:sz="0" w:space="0" w:color="auto"/>
        <w:left w:val="none" w:sz="0" w:space="0" w:color="auto"/>
        <w:bottom w:val="none" w:sz="0" w:space="0" w:color="auto"/>
        <w:right w:val="none" w:sz="0" w:space="0" w:color="auto"/>
      </w:divBdr>
    </w:div>
    <w:div w:id="1369717723">
      <w:bodyDiv w:val="1"/>
      <w:marLeft w:val="0"/>
      <w:marRight w:val="0"/>
      <w:marTop w:val="0"/>
      <w:marBottom w:val="0"/>
      <w:divBdr>
        <w:top w:val="none" w:sz="0" w:space="0" w:color="auto"/>
        <w:left w:val="none" w:sz="0" w:space="0" w:color="auto"/>
        <w:bottom w:val="none" w:sz="0" w:space="0" w:color="auto"/>
        <w:right w:val="none" w:sz="0" w:space="0" w:color="auto"/>
      </w:divBdr>
    </w:div>
    <w:div w:id="1370913862">
      <w:bodyDiv w:val="1"/>
      <w:marLeft w:val="0"/>
      <w:marRight w:val="0"/>
      <w:marTop w:val="0"/>
      <w:marBottom w:val="0"/>
      <w:divBdr>
        <w:top w:val="none" w:sz="0" w:space="0" w:color="auto"/>
        <w:left w:val="none" w:sz="0" w:space="0" w:color="auto"/>
        <w:bottom w:val="none" w:sz="0" w:space="0" w:color="auto"/>
        <w:right w:val="none" w:sz="0" w:space="0" w:color="auto"/>
      </w:divBdr>
    </w:div>
    <w:div w:id="1371808132">
      <w:bodyDiv w:val="1"/>
      <w:marLeft w:val="0"/>
      <w:marRight w:val="0"/>
      <w:marTop w:val="0"/>
      <w:marBottom w:val="0"/>
      <w:divBdr>
        <w:top w:val="none" w:sz="0" w:space="0" w:color="auto"/>
        <w:left w:val="none" w:sz="0" w:space="0" w:color="auto"/>
        <w:bottom w:val="none" w:sz="0" w:space="0" w:color="auto"/>
        <w:right w:val="none" w:sz="0" w:space="0" w:color="auto"/>
      </w:divBdr>
    </w:div>
    <w:div w:id="1374227276">
      <w:bodyDiv w:val="1"/>
      <w:marLeft w:val="0"/>
      <w:marRight w:val="0"/>
      <w:marTop w:val="0"/>
      <w:marBottom w:val="0"/>
      <w:divBdr>
        <w:top w:val="none" w:sz="0" w:space="0" w:color="auto"/>
        <w:left w:val="none" w:sz="0" w:space="0" w:color="auto"/>
        <w:bottom w:val="none" w:sz="0" w:space="0" w:color="auto"/>
        <w:right w:val="none" w:sz="0" w:space="0" w:color="auto"/>
      </w:divBdr>
    </w:div>
    <w:div w:id="1380012836">
      <w:bodyDiv w:val="1"/>
      <w:marLeft w:val="0"/>
      <w:marRight w:val="0"/>
      <w:marTop w:val="0"/>
      <w:marBottom w:val="0"/>
      <w:divBdr>
        <w:top w:val="none" w:sz="0" w:space="0" w:color="auto"/>
        <w:left w:val="none" w:sz="0" w:space="0" w:color="auto"/>
        <w:bottom w:val="none" w:sz="0" w:space="0" w:color="auto"/>
        <w:right w:val="none" w:sz="0" w:space="0" w:color="auto"/>
      </w:divBdr>
    </w:div>
    <w:div w:id="1384060642">
      <w:bodyDiv w:val="1"/>
      <w:marLeft w:val="0"/>
      <w:marRight w:val="0"/>
      <w:marTop w:val="0"/>
      <w:marBottom w:val="0"/>
      <w:divBdr>
        <w:top w:val="none" w:sz="0" w:space="0" w:color="auto"/>
        <w:left w:val="none" w:sz="0" w:space="0" w:color="auto"/>
        <w:bottom w:val="none" w:sz="0" w:space="0" w:color="auto"/>
        <w:right w:val="none" w:sz="0" w:space="0" w:color="auto"/>
      </w:divBdr>
    </w:div>
    <w:div w:id="1385639407">
      <w:bodyDiv w:val="1"/>
      <w:marLeft w:val="0"/>
      <w:marRight w:val="0"/>
      <w:marTop w:val="0"/>
      <w:marBottom w:val="0"/>
      <w:divBdr>
        <w:top w:val="none" w:sz="0" w:space="0" w:color="auto"/>
        <w:left w:val="none" w:sz="0" w:space="0" w:color="auto"/>
        <w:bottom w:val="none" w:sz="0" w:space="0" w:color="auto"/>
        <w:right w:val="none" w:sz="0" w:space="0" w:color="auto"/>
      </w:divBdr>
    </w:div>
    <w:div w:id="1386635780">
      <w:bodyDiv w:val="1"/>
      <w:marLeft w:val="0"/>
      <w:marRight w:val="0"/>
      <w:marTop w:val="0"/>
      <w:marBottom w:val="0"/>
      <w:divBdr>
        <w:top w:val="none" w:sz="0" w:space="0" w:color="auto"/>
        <w:left w:val="none" w:sz="0" w:space="0" w:color="auto"/>
        <w:bottom w:val="none" w:sz="0" w:space="0" w:color="auto"/>
        <w:right w:val="none" w:sz="0" w:space="0" w:color="auto"/>
      </w:divBdr>
    </w:div>
    <w:div w:id="1395738836">
      <w:bodyDiv w:val="1"/>
      <w:marLeft w:val="0"/>
      <w:marRight w:val="0"/>
      <w:marTop w:val="0"/>
      <w:marBottom w:val="0"/>
      <w:divBdr>
        <w:top w:val="none" w:sz="0" w:space="0" w:color="auto"/>
        <w:left w:val="none" w:sz="0" w:space="0" w:color="auto"/>
        <w:bottom w:val="none" w:sz="0" w:space="0" w:color="auto"/>
        <w:right w:val="none" w:sz="0" w:space="0" w:color="auto"/>
      </w:divBdr>
    </w:div>
    <w:div w:id="1401101845">
      <w:bodyDiv w:val="1"/>
      <w:marLeft w:val="0"/>
      <w:marRight w:val="0"/>
      <w:marTop w:val="0"/>
      <w:marBottom w:val="0"/>
      <w:divBdr>
        <w:top w:val="none" w:sz="0" w:space="0" w:color="auto"/>
        <w:left w:val="none" w:sz="0" w:space="0" w:color="auto"/>
        <w:bottom w:val="none" w:sz="0" w:space="0" w:color="auto"/>
        <w:right w:val="none" w:sz="0" w:space="0" w:color="auto"/>
      </w:divBdr>
    </w:div>
    <w:div w:id="1406954041">
      <w:bodyDiv w:val="1"/>
      <w:marLeft w:val="0"/>
      <w:marRight w:val="0"/>
      <w:marTop w:val="0"/>
      <w:marBottom w:val="0"/>
      <w:divBdr>
        <w:top w:val="none" w:sz="0" w:space="0" w:color="auto"/>
        <w:left w:val="none" w:sz="0" w:space="0" w:color="auto"/>
        <w:bottom w:val="none" w:sz="0" w:space="0" w:color="auto"/>
        <w:right w:val="none" w:sz="0" w:space="0" w:color="auto"/>
      </w:divBdr>
    </w:div>
    <w:div w:id="1421026084">
      <w:bodyDiv w:val="1"/>
      <w:marLeft w:val="0"/>
      <w:marRight w:val="0"/>
      <w:marTop w:val="0"/>
      <w:marBottom w:val="0"/>
      <w:divBdr>
        <w:top w:val="none" w:sz="0" w:space="0" w:color="auto"/>
        <w:left w:val="none" w:sz="0" w:space="0" w:color="auto"/>
        <w:bottom w:val="none" w:sz="0" w:space="0" w:color="auto"/>
        <w:right w:val="none" w:sz="0" w:space="0" w:color="auto"/>
      </w:divBdr>
    </w:div>
    <w:div w:id="1426227136">
      <w:bodyDiv w:val="1"/>
      <w:marLeft w:val="0"/>
      <w:marRight w:val="0"/>
      <w:marTop w:val="0"/>
      <w:marBottom w:val="0"/>
      <w:divBdr>
        <w:top w:val="none" w:sz="0" w:space="0" w:color="auto"/>
        <w:left w:val="none" w:sz="0" w:space="0" w:color="auto"/>
        <w:bottom w:val="none" w:sz="0" w:space="0" w:color="auto"/>
        <w:right w:val="none" w:sz="0" w:space="0" w:color="auto"/>
      </w:divBdr>
    </w:div>
    <w:div w:id="1426874995">
      <w:bodyDiv w:val="1"/>
      <w:marLeft w:val="0"/>
      <w:marRight w:val="0"/>
      <w:marTop w:val="0"/>
      <w:marBottom w:val="0"/>
      <w:divBdr>
        <w:top w:val="none" w:sz="0" w:space="0" w:color="auto"/>
        <w:left w:val="none" w:sz="0" w:space="0" w:color="auto"/>
        <w:bottom w:val="none" w:sz="0" w:space="0" w:color="auto"/>
        <w:right w:val="none" w:sz="0" w:space="0" w:color="auto"/>
      </w:divBdr>
    </w:div>
    <w:div w:id="1431049466">
      <w:bodyDiv w:val="1"/>
      <w:marLeft w:val="0"/>
      <w:marRight w:val="0"/>
      <w:marTop w:val="0"/>
      <w:marBottom w:val="0"/>
      <w:divBdr>
        <w:top w:val="none" w:sz="0" w:space="0" w:color="auto"/>
        <w:left w:val="none" w:sz="0" w:space="0" w:color="auto"/>
        <w:bottom w:val="none" w:sz="0" w:space="0" w:color="auto"/>
        <w:right w:val="none" w:sz="0" w:space="0" w:color="auto"/>
      </w:divBdr>
    </w:div>
    <w:div w:id="1432243336">
      <w:bodyDiv w:val="1"/>
      <w:marLeft w:val="0"/>
      <w:marRight w:val="0"/>
      <w:marTop w:val="0"/>
      <w:marBottom w:val="0"/>
      <w:divBdr>
        <w:top w:val="none" w:sz="0" w:space="0" w:color="auto"/>
        <w:left w:val="none" w:sz="0" w:space="0" w:color="auto"/>
        <w:bottom w:val="none" w:sz="0" w:space="0" w:color="auto"/>
        <w:right w:val="none" w:sz="0" w:space="0" w:color="auto"/>
      </w:divBdr>
    </w:div>
    <w:div w:id="1432776891">
      <w:bodyDiv w:val="1"/>
      <w:marLeft w:val="0"/>
      <w:marRight w:val="0"/>
      <w:marTop w:val="0"/>
      <w:marBottom w:val="0"/>
      <w:divBdr>
        <w:top w:val="none" w:sz="0" w:space="0" w:color="auto"/>
        <w:left w:val="none" w:sz="0" w:space="0" w:color="auto"/>
        <w:bottom w:val="none" w:sz="0" w:space="0" w:color="auto"/>
        <w:right w:val="none" w:sz="0" w:space="0" w:color="auto"/>
      </w:divBdr>
    </w:div>
    <w:div w:id="1436167521">
      <w:bodyDiv w:val="1"/>
      <w:marLeft w:val="0"/>
      <w:marRight w:val="0"/>
      <w:marTop w:val="0"/>
      <w:marBottom w:val="0"/>
      <w:divBdr>
        <w:top w:val="none" w:sz="0" w:space="0" w:color="auto"/>
        <w:left w:val="none" w:sz="0" w:space="0" w:color="auto"/>
        <w:bottom w:val="none" w:sz="0" w:space="0" w:color="auto"/>
        <w:right w:val="none" w:sz="0" w:space="0" w:color="auto"/>
      </w:divBdr>
    </w:div>
    <w:div w:id="1437366668">
      <w:bodyDiv w:val="1"/>
      <w:marLeft w:val="0"/>
      <w:marRight w:val="0"/>
      <w:marTop w:val="0"/>
      <w:marBottom w:val="0"/>
      <w:divBdr>
        <w:top w:val="none" w:sz="0" w:space="0" w:color="auto"/>
        <w:left w:val="none" w:sz="0" w:space="0" w:color="auto"/>
        <w:bottom w:val="none" w:sz="0" w:space="0" w:color="auto"/>
        <w:right w:val="none" w:sz="0" w:space="0" w:color="auto"/>
      </w:divBdr>
    </w:div>
    <w:div w:id="1438257835">
      <w:bodyDiv w:val="1"/>
      <w:marLeft w:val="0"/>
      <w:marRight w:val="0"/>
      <w:marTop w:val="0"/>
      <w:marBottom w:val="0"/>
      <w:divBdr>
        <w:top w:val="none" w:sz="0" w:space="0" w:color="auto"/>
        <w:left w:val="none" w:sz="0" w:space="0" w:color="auto"/>
        <w:bottom w:val="none" w:sz="0" w:space="0" w:color="auto"/>
        <w:right w:val="none" w:sz="0" w:space="0" w:color="auto"/>
      </w:divBdr>
    </w:div>
    <w:div w:id="1440446723">
      <w:bodyDiv w:val="1"/>
      <w:marLeft w:val="0"/>
      <w:marRight w:val="0"/>
      <w:marTop w:val="0"/>
      <w:marBottom w:val="0"/>
      <w:divBdr>
        <w:top w:val="none" w:sz="0" w:space="0" w:color="auto"/>
        <w:left w:val="none" w:sz="0" w:space="0" w:color="auto"/>
        <w:bottom w:val="none" w:sz="0" w:space="0" w:color="auto"/>
        <w:right w:val="none" w:sz="0" w:space="0" w:color="auto"/>
      </w:divBdr>
    </w:div>
    <w:div w:id="1440485420">
      <w:bodyDiv w:val="1"/>
      <w:marLeft w:val="0"/>
      <w:marRight w:val="0"/>
      <w:marTop w:val="0"/>
      <w:marBottom w:val="0"/>
      <w:divBdr>
        <w:top w:val="none" w:sz="0" w:space="0" w:color="auto"/>
        <w:left w:val="none" w:sz="0" w:space="0" w:color="auto"/>
        <w:bottom w:val="none" w:sz="0" w:space="0" w:color="auto"/>
        <w:right w:val="none" w:sz="0" w:space="0" w:color="auto"/>
      </w:divBdr>
    </w:div>
    <w:div w:id="1443259557">
      <w:bodyDiv w:val="1"/>
      <w:marLeft w:val="0"/>
      <w:marRight w:val="0"/>
      <w:marTop w:val="0"/>
      <w:marBottom w:val="0"/>
      <w:divBdr>
        <w:top w:val="none" w:sz="0" w:space="0" w:color="auto"/>
        <w:left w:val="none" w:sz="0" w:space="0" w:color="auto"/>
        <w:bottom w:val="none" w:sz="0" w:space="0" w:color="auto"/>
        <w:right w:val="none" w:sz="0" w:space="0" w:color="auto"/>
      </w:divBdr>
    </w:div>
    <w:div w:id="1449088439">
      <w:bodyDiv w:val="1"/>
      <w:marLeft w:val="0"/>
      <w:marRight w:val="0"/>
      <w:marTop w:val="0"/>
      <w:marBottom w:val="0"/>
      <w:divBdr>
        <w:top w:val="none" w:sz="0" w:space="0" w:color="auto"/>
        <w:left w:val="none" w:sz="0" w:space="0" w:color="auto"/>
        <w:bottom w:val="none" w:sz="0" w:space="0" w:color="auto"/>
        <w:right w:val="none" w:sz="0" w:space="0" w:color="auto"/>
      </w:divBdr>
    </w:div>
    <w:div w:id="1450928723">
      <w:bodyDiv w:val="1"/>
      <w:marLeft w:val="0"/>
      <w:marRight w:val="0"/>
      <w:marTop w:val="0"/>
      <w:marBottom w:val="0"/>
      <w:divBdr>
        <w:top w:val="none" w:sz="0" w:space="0" w:color="auto"/>
        <w:left w:val="none" w:sz="0" w:space="0" w:color="auto"/>
        <w:bottom w:val="none" w:sz="0" w:space="0" w:color="auto"/>
        <w:right w:val="none" w:sz="0" w:space="0" w:color="auto"/>
      </w:divBdr>
    </w:div>
    <w:div w:id="1451390065">
      <w:bodyDiv w:val="1"/>
      <w:marLeft w:val="0"/>
      <w:marRight w:val="0"/>
      <w:marTop w:val="0"/>
      <w:marBottom w:val="0"/>
      <w:divBdr>
        <w:top w:val="none" w:sz="0" w:space="0" w:color="auto"/>
        <w:left w:val="none" w:sz="0" w:space="0" w:color="auto"/>
        <w:bottom w:val="none" w:sz="0" w:space="0" w:color="auto"/>
        <w:right w:val="none" w:sz="0" w:space="0" w:color="auto"/>
      </w:divBdr>
    </w:div>
    <w:div w:id="1452436112">
      <w:bodyDiv w:val="1"/>
      <w:marLeft w:val="0"/>
      <w:marRight w:val="0"/>
      <w:marTop w:val="0"/>
      <w:marBottom w:val="0"/>
      <w:divBdr>
        <w:top w:val="none" w:sz="0" w:space="0" w:color="auto"/>
        <w:left w:val="none" w:sz="0" w:space="0" w:color="auto"/>
        <w:bottom w:val="none" w:sz="0" w:space="0" w:color="auto"/>
        <w:right w:val="none" w:sz="0" w:space="0" w:color="auto"/>
      </w:divBdr>
    </w:div>
    <w:div w:id="1453938075">
      <w:bodyDiv w:val="1"/>
      <w:marLeft w:val="0"/>
      <w:marRight w:val="0"/>
      <w:marTop w:val="0"/>
      <w:marBottom w:val="0"/>
      <w:divBdr>
        <w:top w:val="none" w:sz="0" w:space="0" w:color="auto"/>
        <w:left w:val="none" w:sz="0" w:space="0" w:color="auto"/>
        <w:bottom w:val="none" w:sz="0" w:space="0" w:color="auto"/>
        <w:right w:val="none" w:sz="0" w:space="0" w:color="auto"/>
      </w:divBdr>
    </w:div>
    <w:div w:id="1455441612">
      <w:bodyDiv w:val="1"/>
      <w:marLeft w:val="0"/>
      <w:marRight w:val="0"/>
      <w:marTop w:val="0"/>
      <w:marBottom w:val="0"/>
      <w:divBdr>
        <w:top w:val="none" w:sz="0" w:space="0" w:color="auto"/>
        <w:left w:val="none" w:sz="0" w:space="0" w:color="auto"/>
        <w:bottom w:val="none" w:sz="0" w:space="0" w:color="auto"/>
        <w:right w:val="none" w:sz="0" w:space="0" w:color="auto"/>
      </w:divBdr>
    </w:div>
    <w:div w:id="1456096503">
      <w:bodyDiv w:val="1"/>
      <w:marLeft w:val="0"/>
      <w:marRight w:val="0"/>
      <w:marTop w:val="0"/>
      <w:marBottom w:val="0"/>
      <w:divBdr>
        <w:top w:val="none" w:sz="0" w:space="0" w:color="auto"/>
        <w:left w:val="none" w:sz="0" w:space="0" w:color="auto"/>
        <w:bottom w:val="none" w:sz="0" w:space="0" w:color="auto"/>
        <w:right w:val="none" w:sz="0" w:space="0" w:color="auto"/>
      </w:divBdr>
    </w:div>
    <w:div w:id="1466198995">
      <w:bodyDiv w:val="1"/>
      <w:marLeft w:val="0"/>
      <w:marRight w:val="0"/>
      <w:marTop w:val="0"/>
      <w:marBottom w:val="0"/>
      <w:divBdr>
        <w:top w:val="none" w:sz="0" w:space="0" w:color="auto"/>
        <w:left w:val="none" w:sz="0" w:space="0" w:color="auto"/>
        <w:bottom w:val="none" w:sz="0" w:space="0" w:color="auto"/>
        <w:right w:val="none" w:sz="0" w:space="0" w:color="auto"/>
      </w:divBdr>
    </w:div>
    <w:div w:id="1467626066">
      <w:bodyDiv w:val="1"/>
      <w:marLeft w:val="0"/>
      <w:marRight w:val="0"/>
      <w:marTop w:val="0"/>
      <w:marBottom w:val="0"/>
      <w:divBdr>
        <w:top w:val="none" w:sz="0" w:space="0" w:color="auto"/>
        <w:left w:val="none" w:sz="0" w:space="0" w:color="auto"/>
        <w:bottom w:val="none" w:sz="0" w:space="0" w:color="auto"/>
        <w:right w:val="none" w:sz="0" w:space="0" w:color="auto"/>
      </w:divBdr>
    </w:div>
    <w:div w:id="1468816551">
      <w:bodyDiv w:val="1"/>
      <w:marLeft w:val="0"/>
      <w:marRight w:val="0"/>
      <w:marTop w:val="0"/>
      <w:marBottom w:val="0"/>
      <w:divBdr>
        <w:top w:val="none" w:sz="0" w:space="0" w:color="auto"/>
        <w:left w:val="none" w:sz="0" w:space="0" w:color="auto"/>
        <w:bottom w:val="none" w:sz="0" w:space="0" w:color="auto"/>
        <w:right w:val="none" w:sz="0" w:space="0" w:color="auto"/>
      </w:divBdr>
    </w:div>
    <w:div w:id="1477188313">
      <w:bodyDiv w:val="1"/>
      <w:marLeft w:val="0"/>
      <w:marRight w:val="0"/>
      <w:marTop w:val="0"/>
      <w:marBottom w:val="0"/>
      <w:divBdr>
        <w:top w:val="none" w:sz="0" w:space="0" w:color="auto"/>
        <w:left w:val="none" w:sz="0" w:space="0" w:color="auto"/>
        <w:bottom w:val="none" w:sz="0" w:space="0" w:color="auto"/>
        <w:right w:val="none" w:sz="0" w:space="0" w:color="auto"/>
      </w:divBdr>
    </w:div>
    <w:div w:id="1477801677">
      <w:bodyDiv w:val="1"/>
      <w:marLeft w:val="0"/>
      <w:marRight w:val="0"/>
      <w:marTop w:val="0"/>
      <w:marBottom w:val="0"/>
      <w:divBdr>
        <w:top w:val="none" w:sz="0" w:space="0" w:color="auto"/>
        <w:left w:val="none" w:sz="0" w:space="0" w:color="auto"/>
        <w:bottom w:val="none" w:sz="0" w:space="0" w:color="auto"/>
        <w:right w:val="none" w:sz="0" w:space="0" w:color="auto"/>
      </w:divBdr>
    </w:div>
    <w:div w:id="1480421678">
      <w:bodyDiv w:val="1"/>
      <w:marLeft w:val="0"/>
      <w:marRight w:val="0"/>
      <w:marTop w:val="0"/>
      <w:marBottom w:val="0"/>
      <w:divBdr>
        <w:top w:val="none" w:sz="0" w:space="0" w:color="auto"/>
        <w:left w:val="none" w:sz="0" w:space="0" w:color="auto"/>
        <w:bottom w:val="none" w:sz="0" w:space="0" w:color="auto"/>
        <w:right w:val="none" w:sz="0" w:space="0" w:color="auto"/>
      </w:divBdr>
    </w:div>
    <w:div w:id="1480490065">
      <w:bodyDiv w:val="1"/>
      <w:marLeft w:val="0"/>
      <w:marRight w:val="0"/>
      <w:marTop w:val="0"/>
      <w:marBottom w:val="0"/>
      <w:divBdr>
        <w:top w:val="none" w:sz="0" w:space="0" w:color="auto"/>
        <w:left w:val="none" w:sz="0" w:space="0" w:color="auto"/>
        <w:bottom w:val="none" w:sz="0" w:space="0" w:color="auto"/>
        <w:right w:val="none" w:sz="0" w:space="0" w:color="auto"/>
      </w:divBdr>
    </w:div>
    <w:div w:id="1483618890">
      <w:bodyDiv w:val="1"/>
      <w:marLeft w:val="0"/>
      <w:marRight w:val="0"/>
      <w:marTop w:val="0"/>
      <w:marBottom w:val="0"/>
      <w:divBdr>
        <w:top w:val="none" w:sz="0" w:space="0" w:color="auto"/>
        <w:left w:val="none" w:sz="0" w:space="0" w:color="auto"/>
        <w:bottom w:val="none" w:sz="0" w:space="0" w:color="auto"/>
        <w:right w:val="none" w:sz="0" w:space="0" w:color="auto"/>
      </w:divBdr>
    </w:div>
    <w:div w:id="1483809701">
      <w:bodyDiv w:val="1"/>
      <w:marLeft w:val="0"/>
      <w:marRight w:val="0"/>
      <w:marTop w:val="0"/>
      <w:marBottom w:val="0"/>
      <w:divBdr>
        <w:top w:val="none" w:sz="0" w:space="0" w:color="auto"/>
        <w:left w:val="none" w:sz="0" w:space="0" w:color="auto"/>
        <w:bottom w:val="none" w:sz="0" w:space="0" w:color="auto"/>
        <w:right w:val="none" w:sz="0" w:space="0" w:color="auto"/>
      </w:divBdr>
    </w:div>
    <w:div w:id="1487166360">
      <w:bodyDiv w:val="1"/>
      <w:marLeft w:val="0"/>
      <w:marRight w:val="0"/>
      <w:marTop w:val="0"/>
      <w:marBottom w:val="0"/>
      <w:divBdr>
        <w:top w:val="none" w:sz="0" w:space="0" w:color="auto"/>
        <w:left w:val="none" w:sz="0" w:space="0" w:color="auto"/>
        <w:bottom w:val="none" w:sz="0" w:space="0" w:color="auto"/>
        <w:right w:val="none" w:sz="0" w:space="0" w:color="auto"/>
      </w:divBdr>
    </w:div>
    <w:div w:id="1487551154">
      <w:bodyDiv w:val="1"/>
      <w:marLeft w:val="0"/>
      <w:marRight w:val="0"/>
      <w:marTop w:val="0"/>
      <w:marBottom w:val="0"/>
      <w:divBdr>
        <w:top w:val="none" w:sz="0" w:space="0" w:color="auto"/>
        <w:left w:val="none" w:sz="0" w:space="0" w:color="auto"/>
        <w:bottom w:val="none" w:sz="0" w:space="0" w:color="auto"/>
        <w:right w:val="none" w:sz="0" w:space="0" w:color="auto"/>
      </w:divBdr>
    </w:div>
    <w:div w:id="1498765803">
      <w:bodyDiv w:val="1"/>
      <w:marLeft w:val="0"/>
      <w:marRight w:val="0"/>
      <w:marTop w:val="0"/>
      <w:marBottom w:val="0"/>
      <w:divBdr>
        <w:top w:val="none" w:sz="0" w:space="0" w:color="auto"/>
        <w:left w:val="none" w:sz="0" w:space="0" w:color="auto"/>
        <w:bottom w:val="none" w:sz="0" w:space="0" w:color="auto"/>
        <w:right w:val="none" w:sz="0" w:space="0" w:color="auto"/>
      </w:divBdr>
    </w:div>
    <w:div w:id="1499924176">
      <w:bodyDiv w:val="1"/>
      <w:marLeft w:val="0"/>
      <w:marRight w:val="0"/>
      <w:marTop w:val="0"/>
      <w:marBottom w:val="0"/>
      <w:divBdr>
        <w:top w:val="none" w:sz="0" w:space="0" w:color="auto"/>
        <w:left w:val="none" w:sz="0" w:space="0" w:color="auto"/>
        <w:bottom w:val="none" w:sz="0" w:space="0" w:color="auto"/>
        <w:right w:val="none" w:sz="0" w:space="0" w:color="auto"/>
      </w:divBdr>
    </w:div>
    <w:div w:id="1506550724">
      <w:bodyDiv w:val="1"/>
      <w:marLeft w:val="0"/>
      <w:marRight w:val="0"/>
      <w:marTop w:val="0"/>
      <w:marBottom w:val="0"/>
      <w:divBdr>
        <w:top w:val="none" w:sz="0" w:space="0" w:color="auto"/>
        <w:left w:val="none" w:sz="0" w:space="0" w:color="auto"/>
        <w:bottom w:val="none" w:sz="0" w:space="0" w:color="auto"/>
        <w:right w:val="none" w:sz="0" w:space="0" w:color="auto"/>
      </w:divBdr>
    </w:div>
    <w:div w:id="1507283802">
      <w:bodyDiv w:val="1"/>
      <w:marLeft w:val="0"/>
      <w:marRight w:val="0"/>
      <w:marTop w:val="0"/>
      <w:marBottom w:val="0"/>
      <w:divBdr>
        <w:top w:val="none" w:sz="0" w:space="0" w:color="auto"/>
        <w:left w:val="none" w:sz="0" w:space="0" w:color="auto"/>
        <w:bottom w:val="none" w:sz="0" w:space="0" w:color="auto"/>
        <w:right w:val="none" w:sz="0" w:space="0" w:color="auto"/>
      </w:divBdr>
    </w:div>
    <w:div w:id="1507400393">
      <w:bodyDiv w:val="1"/>
      <w:marLeft w:val="0"/>
      <w:marRight w:val="0"/>
      <w:marTop w:val="0"/>
      <w:marBottom w:val="0"/>
      <w:divBdr>
        <w:top w:val="none" w:sz="0" w:space="0" w:color="auto"/>
        <w:left w:val="none" w:sz="0" w:space="0" w:color="auto"/>
        <w:bottom w:val="none" w:sz="0" w:space="0" w:color="auto"/>
        <w:right w:val="none" w:sz="0" w:space="0" w:color="auto"/>
      </w:divBdr>
    </w:div>
    <w:div w:id="1510833719">
      <w:bodyDiv w:val="1"/>
      <w:marLeft w:val="0"/>
      <w:marRight w:val="0"/>
      <w:marTop w:val="0"/>
      <w:marBottom w:val="0"/>
      <w:divBdr>
        <w:top w:val="none" w:sz="0" w:space="0" w:color="auto"/>
        <w:left w:val="none" w:sz="0" w:space="0" w:color="auto"/>
        <w:bottom w:val="none" w:sz="0" w:space="0" w:color="auto"/>
        <w:right w:val="none" w:sz="0" w:space="0" w:color="auto"/>
      </w:divBdr>
    </w:div>
    <w:div w:id="1511530397">
      <w:bodyDiv w:val="1"/>
      <w:marLeft w:val="0"/>
      <w:marRight w:val="0"/>
      <w:marTop w:val="0"/>
      <w:marBottom w:val="0"/>
      <w:divBdr>
        <w:top w:val="none" w:sz="0" w:space="0" w:color="auto"/>
        <w:left w:val="none" w:sz="0" w:space="0" w:color="auto"/>
        <w:bottom w:val="none" w:sz="0" w:space="0" w:color="auto"/>
        <w:right w:val="none" w:sz="0" w:space="0" w:color="auto"/>
      </w:divBdr>
    </w:div>
    <w:div w:id="1514765911">
      <w:bodyDiv w:val="1"/>
      <w:marLeft w:val="0"/>
      <w:marRight w:val="0"/>
      <w:marTop w:val="0"/>
      <w:marBottom w:val="0"/>
      <w:divBdr>
        <w:top w:val="none" w:sz="0" w:space="0" w:color="auto"/>
        <w:left w:val="none" w:sz="0" w:space="0" w:color="auto"/>
        <w:bottom w:val="none" w:sz="0" w:space="0" w:color="auto"/>
        <w:right w:val="none" w:sz="0" w:space="0" w:color="auto"/>
      </w:divBdr>
    </w:div>
    <w:div w:id="1515071719">
      <w:bodyDiv w:val="1"/>
      <w:marLeft w:val="0"/>
      <w:marRight w:val="0"/>
      <w:marTop w:val="0"/>
      <w:marBottom w:val="0"/>
      <w:divBdr>
        <w:top w:val="none" w:sz="0" w:space="0" w:color="auto"/>
        <w:left w:val="none" w:sz="0" w:space="0" w:color="auto"/>
        <w:bottom w:val="none" w:sz="0" w:space="0" w:color="auto"/>
        <w:right w:val="none" w:sz="0" w:space="0" w:color="auto"/>
      </w:divBdr>
    </w:div>
    <w:div w:id="1515263038">
      <w:bodyDiv w:val="1"/>
      <w:marLeft w:val="0"/>
      <w:marRight w:val="0"/>
      <w:marTop w:val="0"/>
      <w:marBottom w:val="0"/>
      <w:divBdr>
        <w:top w:val="none" w:sz="0" w:space="0" w:color="auto"/>
        <w:left w:val="none" w:sz="0" w:space="0" w:color="auto"/>
        <w:bottom w:val="none" w:sz="0" w:space="0" w:color="auto"/>
        <w:right w:val="none" w:sz="0" w:space="0" w:color="auto"/>
      </w:divBdr>
    </w:div>
    <w:div w:id="1515799586">
      <w:bodyDiv w:val="1"/>
      <w:marLeft w:val="0"/>
      <w:marRight w:val="0"/>
      <w:marTop w:val="0"/>
      <w:marBottom w:val="0"/>
      <w:divBdr>
        <w:top w:val="none" w:sz="0" w:space="0" w:color="auto"/>
        <w:left w:val="none" w:sz="0" w:space="0" w:color="auto"/>
        <w:bottom w:val="none" w:sz="0" w:space="0" w:color="auto"/>
        <w:right w:val="none" w:sz="0" w:space="0" w:color="auto"/>
      </w:divBdr>
    </w:div>
    <w:div w:id="1516190581">
      <w:bodyDiv w:val="1"/>
      <w:marLeft w:val="0"/>
      <w:marRight w:val="0"/>
      <w:marTop w:val="0"/>
      <w:marBottom w:val="0"/>
      <w:divBdr>
        <w:top w:val="none" w:sz="0" w:space="0" w:color="auto"/>
        <w:left w:val="none" w:sz="0" w:space="0" w:color="auto"/>
        <w:bottom w:val="none" w:sz="0" w:space="0" w:color="auto"/>
        <w:right w:val="none" w:sz="0" w:space="0" w:color="auto"/>
      </w:divBdr>
    </w:div>
    <w:div w:id="1521621589">
      <w:bodyDiv w:val="1"/>
      <w:marLeft w:val="0"/>
      <w:marRight w:val="0"/>
      <w:marTop w:val="0"/>
      <w:marBottom w:val="0"/>
      <w:divBdr>
        <w:top w:val="none" w:sz="0" w:space="0" w:color="auto"/>
        <w:left w:val="none" w:sz="0" w:space="0" w:color="auto"/>
        <w:bottom w:val="none" w:sz="0" w:space="0" w:color="auto"/>
        <w:right w:val="none" w:sz="0" w:space="0" w:color="auto"/>
      </w:divBdr>
    </w:div>
    <w:div w:id="1527328068">
      <w:bodyDiv w:val="1"/>
      <w:marLeft w:val="0"/>
      <w:marRight w:val="0"/>
      <w:marTop w:val="0"/>
      <w:marBottom w:val="0"/>
      <w:divBdr>
        <w:top w:val="none" w:sz="0" w:space="0" w:color="auto"/>
        <w:left w:val="none" w:sz="0" w:space="0" w:color="auto"/>
        <w:bottom w:val="none" w:sz="0" w:space="0" w:color="auto"/>
        <w:right w:val="none" w:sz="0" w:space="0" w:color="auto"/>
      </w:divBdr>
    </w:div>
    <w:div w:id="1529104294">
      <w:bodyDiv w:val="1"/>
      <w:marLeft w:val="0"/>
      <w:marRight w:val="0"/>
      <w:marTop w:val="0"/>
      <w:marBottom w:val="0"/>
      <w:divBdr>
        <w:top w:val="none" w:sz="0" w:space="0" w:color="auto"/>
        <w:left w:val="none" w:sz="0" w:space="0" w:color="auto"/>
        <w:bottom w:val="none" w:sz="0" w:space="0" w:color="auto"/>
        <w:right w:val="none" w:sz="0" w:space="0" w:color="auto"/>
      </w:divBdr>
    </w:div>
    <w:div w:id="1529173444">
      <w:bodyDiv w:val="1"/>
      <w:marLeft w:val="0"/>
      <w:marRight w:val="0"/>
      <w:marTop w:val="0"/>
      <w:marBottom w:val="0"/>
      <w:divBdr>
        <w:top w:val="none" w:sz="0" w:space="0" w:color="auto"/>
        <w:left w:val="none" w:sz="0" w:space="0" w:color="auto"/>
        <w:bottom w:val="none" w:sz="0" w:space="0" w:color="auto"/>
        <w:right w:val="none" w:sz="0" w:space="0" w:color="auto"/>
      </w:divBdr>
    </w:div>
    <w:div w:id="1529954653">
      <w:bodyDiv w:val="1"/>
      <w:marLeft w:val="0"/>
      <w:marRight w:val="0"/>
      <w:marTop w:val="0"/>
      <w:marBottom w:val="0"/>
      <w:divBdr>
        <w:top w:val="none" w:sz="0" w:space="0" w:color="auto"/>
        <w:left w:val="none" w:sz="0" w:space="0" w:color="auto"/>
        <w:bottom w:val="none" w:sz="0" w:space="0" w:color="auto"/>
        <w:right w:val="none" w:sz="0" w:space="0" w:color="auto"/>
      </w:divBdr>
    </w:div>
    <w:div w:id="1535196062">
      <w:bodyDiv w:val="1"/>
      <w:marLeft w:val="0"/>
      <w:marRight w:val="0"/>
      <w:marTop w:val="0"/>
      <w:marBottom w:val="0"/>
      <w:divBdr>
        <w:top w:val="none" w:sz="0" w:space="0" w:color="auto"/>
        <w:left w:val="none" w:sz="0" w:space="0" w:color="auto"/>
        <w:bottom w:val="none" w:sz="0" w:space="0" w:color="auto"/>
        <w:right w:val="none" w:sz="0" w:space="0" w:color="auto"/>
      </w:divBdr>
    </w:div>
    <w:div w:id="1535197281">
      <w:bodyDiv w:val="1"/>
      <w:marLeft w:val="0"/>
      <w:marRight w:val="0"/>
      <w:marTop w:val="0"/>
      <w:marBottom w:val="0"/>
      <w:divBdr>
        <w:top w:val="none" w:sz="0" w:space="0" w:color="auto"/>
        <w:left w:val="none" w:sz="0" w:space="0" w:color="auto"/>
        <w:bottom w:val="none" w:sz="0" w:space="0" w:color="auto"/>
        <w:right w:val="none" w:sz="0" w:space="0" w:color="auto"/>
      </w:divBdr>
    </w:div>
    <w:div w:id="1537500449">
      <w:bodyDiv w:val="1"/>
      <w:marLeft w:val="0"/>
      <w:marRight w:val="0"/>
      <w:marTop w:val="0"/>
      <w:marBottom w:val="0"/>
      <w:divBdr>
        <w:top w:val="none" w:sz="0" w:space="0" w:color="auto"/>
        <w:left w:val="none" w:sz="0" w:space="0" w:color="auto"/>
        <w:bottom w:val="none" w:sz="0" w:space="0" w:color="auto"/>
        <w:right w:val="none" w:sz="0" w:space="0" w:color="auto"/>
      </w:divBdr>
    </w:div>
    <w:div w:id="1538083383">
      <w:bodyDiv w:val="1"/>
      <w:marLeft w:val="0"/>
      <w:marRight w:val="0"/>
      <w:marTop w:val="0"/>
      <w:marBottom w:val="0"/>
      <w:divBdr>
        <w:top w:val="none" w:sz="0" w:space="0" w:color="auto"/>
        <w:left w:val="none" w:sz="0" w:space="0" w:color="auto"/>
        <w:bottom w:val="none" w:sz="0" w:space="0" w:color="auto"/>
        <w:right w:val="none" w:sz="0" w:space="0" w:color="auto"/>
      </w:divBdr>
    </w:div>
    <w:div w:id="1538198305">
      <w:bodyDiv w:val="1"/>
      <w:marLeft w:val="0"/>
      <w:marRight w:val="0"/>
      <w:marTop w:val="0"/>
      <w:marBottom w:val="0"/>
      <w:divBdr>
        <w:top w:val="none" w:sz="0" w:space="0" w:color="auto"/>
        <w:left w:val="none" w:sz="0" w:space="0" w:color="auto"/>
        <w:bottom w:val="none" w:sz="0" w:space="0" w:color="auto"/>
        <w:right w:val="none" w:sz="0" w:space="0" w:color="auto"/>
      </w:divBdr>
    </w:div>
    <w:div w:id="1543832683">
      <w:bodyDiv w:val="1"/>
      <w:marLeft w:val="0"/>
      <w:marRight w:val="0"/>
      <w:marTop w:val="0"/>
      <w:marBottom w:val="0"/>
      <w:divBdr>
        <w:top w:val="none" w:sz="0" w:space="0" w:color="auto"/>
        <w:left w:val="none" w:sz="0" w:space="0" w:color="auto"/>
        <w:bottom w:val="none" w:sz="0" w:space="0" w:color="auto"/>
        <w:right w:val="none" w:sz="0" w:space="0" w:color="auto"/>
      </w:divBdr>
    </w:div>
    <w:div w:id="1550871602">
      <w:bodyDiv w:val="1"/>
      <w:marLeft w:val="0"/>
      <w:marRight w:val="0"/>
      <w:marTop w:val="0"/>
      <w:marBottom w:val="0"/>
      <w:divBdr>
        <w:top w:val="none" w:sz="0" w:space="0" w:color="auto"/>
        <w:left w:val="none" w:sz="0" w:space="0" w:color="auto"/>
        <w:bottom w:val="none" w:sz="0" w:space="0" w:color="auto"/>
        <w:right w:val="none" w:sz="0" w:space="0" w:color="auto"/>
      </w:divBdr>
    </w:div>
    <w:div w:id="1551772283">
      <w:bodyDiv w:val="1"/>
      <w:marLeft w:val="0"/>
      <w:marRight w:val="0"/>
      <w:marTop w:val="0"/>
      <w:marBottom w:val="0"/>
      <w:divBdr>
        <w:top w:val="none" w:sz="0" w:space="0" w:color="auto"/>
        <w:left w:val="none" w:sz="0" w:space="0" w:color="auto"/>
        <w:bottom w:val="none" w:sz="0" w:space="0" w:color="auto"/>
        <w:right w:val="none" w:sz="0" w:space="0" w:color="auto"/>
      </w:divBdr>
    </w:div>
    <w:div w:id="1555047226">
      <w:bodyDiv w:val="1"/>
      <w:marLeft w:val="0"/>
      <w:marRight w:val="0"/>
      <w:marTop w:val="0"/>
      <w:marBottom w:val="0"/>
      <w:divBdr>
        <w:top w:val="none" w:sz="0" w:space="0" w:color="auto"/>
        <w:left w:val="none" w:sz="0" w:space="0" w:color="auto"/>
        <w:bottom w:val="none" w:sz="0" w:space="0" w:color="auto"/>
        <w:right w:val="none" w:sz="0" w:space="0" w:color="auto"/>
      </w:divBdr>
    </w:div>
    <w:div w:id="1555236060">
      <w:bodyDiv w:val="1"/>
      <w:marLeft w:val="0"/>
      <w:marRight w:val="0"/>
      <w:marTop w:val="0"/>
      <w:marBottom w:val="0"/>
      <w:divBdr>
        <w:top w:val="none" w:sz="0" w:space="0" w:color="auto"/>
        <w:left w:val="none" w:sz="0" w:space="0" w:color="auto"/>
        <w:bottom w:val="none" w:sz="0" w:space="0" w:color="auto"/>
        <w:right w:val="none" w:sz="0" w:space="0" w:color="auto"/>
      </w:divBdr>
    </w:div>
    <w:div w:id="1562014563">
      <w:bodyDiv w:val="1"/>
      <w:marLeft w:val="0"/>
      <w:marRight w:val="0"/>
      <w:marTop w:val="0"/>
      <w:marBottom w:val="0"/>
      <w:divBdr>
        <w:top w:val="none" w:sz="0" w:space="0" w:color="auto"/>
        <w:left w:val="none" w:sz="0" w:space="0" w:color="auto"/>
        <w:bottom w:val="none" w:sz="0" w:space="0" w:color="auto"/>
        <w:right w:val="none" w:sz="0" w:space="0" w:color="auto"/>
      </w:divBdr>
    </w:div>
    <w:div w:id="1566984587">
      <w:bodyDiv w:val="1"/>
      <w:marLeft w:val="0"/>
      <w:marRight w:val="0"/>
      <w:marTop w:val="0"/>
      <w:marBottom w:val="0"/>
      <w:divBdr>
        <w:top w:val="none" w:sz="0" w:space="0" w:color="auto"/>
        <w:left w:val="none" w:sz="0" w:space="0" w:color="auto"/>
        <w:bottom w:val="none" w:sz="0" w:space="0" w:color="auto"/>
        <w:right w:val="none" w:sz="0" w:space="0" w:color="auto"/>
      </w:divBdr>
    </w:div>
    <w:div w:id="1567915157">
      <w:bodyDiv w:val="1"/>
      <w:marLeft w:val="0"/>
      <w:marRight w:val="0"/>
      <w:marTop w:val="0"/>
      <w:marBottom w:val="0"/>
      <w:divBdr>
        <w:top w:val="none" w:sz="0" w:space="0" w:color="auto"/>
        <w:left w:val="none" w:sz="0" w:space="0" w:color="auto"/>
        <w:bottom w:val="none" w:sz="0" w:space="0" w:color="auto"/>
        <w:right w:val="none" w:sz="0" w:space="0" w:color="auto"/>
      </w:divBdr>
    </w:div>
    <w:div w:id="1569923453">
      <w:bodyDiv w:val="1"/>
      <w:marLeft w:val="0"/>
      <w:marRight w:val="0"/>
      <w:marTop w:val="0"/>
      <w:marBottom w:val="0"/>
      <w:divBdr>
        <w:top w:val="none" w:sz="0" w:space="0" w:color="auto"/>
        <w:left w:val="none" w:sz="0" w:space="0" w:color="auto"/>
        <w:bottom w:val="none" w:sz="0" w:space="0" w:color="auto"/>
        <w:right w:val="none" w:sz="0" w:space="0" w:color="auto"/>
      </w:divBdr>
    </w:div>
    <w:div w:id="1573812166">
      <w:bodyDiv w:val="1"/>
      <w:marLeft w:val="0"/>
      <w:marRight w:val="0"/>
      <w:marTop w:val="0"/>
      <w:marBottom w:val="0"/>
      <w:divBdr>
        <w:top w:val="none" w:sz="0" w:space="0" w:color="auto"/>
        <w:left w:val="none" w:sz="0" w:space="0" w:color="auto"/>
        <w:bottom w:val="none" w:sz="0" w:space="0" w:color="auto"/>
        <w:right w:val="none" w:sz="0" w:space="0" w:color="auto"/>
      </w:divBdr>
    </w:div>
    <w:div w:id="1574269846">
      <w:bodyDiv w:val="1"/>
      <w:marLeft w:val="0"/>
      <w:marRight w:val="0"/>
      <w:marTop w:val="0"/>
      <w:marBottom w:val="0"/>
      <w:divBdr>
        <w:top w:val="none" w:sz="0" w:space="0" w:color="auto"/>
        <w:left w:val="none" w:sz="0" w:space="0" w:color="auto"/>
        <w:bottom w:val="none" w:sz="0" w:space="0" w:color="auto"/>
        <w:right w:val="none" w:sz="0" w:space="0" w:color="auto"/>
      </w:divBdr>
    </w:div>
    <w:div w:id="1575511811">
      <w:bodyDiv w:val="1"/>
      <w:marLeft w:val="0"/>
      <w:marRight w:val="0"/>
      <w:marTop w:val="0"/>
      <w:marBottom w:val="0"/>
      <w:divBdr>
        <w:top w:val="none" w:sz="0" w:space="0" w:color="auto"/>
        <w:left w:val="none" w:sz="0" w:space="0" w:color="auto"/>
        <w:bottom w:val="none" w:sz="0" w:space="0" w:color="auto"/>
        <w:right w:val="none" w:sz="0" w:space="0" w:color="auto"/>
      </w:divBdr>
    </w:div>
    <w:div w:id="1576281088">
      <w:bodyDiv w:val="1"/>
      <w:marLeft w:val="0"/>
      <w:marRight w:val="0"/>
      <w:marTop w:val="0"/>
      <w:marBottom w:val="0"/>
      <w:divBdr>
        <w:top w:val="none" w:sz="0" w:space="0" w:color="auto"/>
        <w:left w:val="none" w:sz="0" w:space="0" w:color="auto"/>
        <w:bottom w:val="none" w:sz="0" w:space="0" w:color="auto"/>
        <w:right w:val="none" w:sz="0" w:space="0" w:color="auto"/>
      </w:divBdr>
    </w:div>
    <w:div w:id="1576548979">
      <w:bodyDiv w:val="1"/>
      <w:marLeft w:val="0"/>
      <w:marRight w:val="0"/>
      <w:marTop w:val="0"/>
      <w:marBottom w:val="0"/>
      <w:divBdr>
        <w:top w:val="none" w:sz="0" w:space="0" w:color="auto"/>
        <w:left w:val="none" w:sz="0" w:space="0" w:color="auto"/>
        <w:bottom w:val="none" w:sz="0" w:space="0" w:color="auto"/>
        <w:right w:val="none" w:sz="0" w:space="0" w:color="auto"/>
      </w:divBdr>
    </w:div>
    <w:div w:id="1577011392">
      <w:bodyDiv w:val="1"/>
      <w:marLeft w:val="0"/>
      <w:marRight w:val="0"/>
      <w:marTop w:val="0"/>
      <w:marBottom w:val="0"/>
      <w:divBdr>
        <w:top w:val="none" w:sz="0" w:space="0" w:color="auto"/>
        <w:left w:val="none" w:sz="0" w:space="0" w:color="auto"/>
        <w:bottom w:val="none" w:sz="0" w:space="0" w:color="auto"/>
        <w:right w:val="none" w:sz="0" w:space="0" w:color="auto"/>
      </w:divBdr>
    </w:div>
    <w:div w:id="1577088955">
      <w:bodyDiv w:val="1"/>
      <w:marLeft w:val="0"/>
      <w:marRight w:val="0"/>
      <w:marTop w:val="0"/>
      <w:marBottom w:val="0"/>
      <w:divBdr>
        <w:top w:val="none" w:sz="0" w:space="0" w:color="auto"/>
        <w:left w:val="none" w:sz="0" w:space="0" w:color="auto"/>
        <w:bottom w:val="none" w:sz="0" w:space="0" w:color="auto"/>
        <w:right w:val="none" w:sz="0" w:space="0" w:color="auto"/>
      </w:divBdr>
    </w:div>
    <w:div w:id="1583029549">
      <w:bodyDiv w:val="1"/>
      <w:marLeft w:val="0"/>
      <w:marRight w:val="0"/>
      <w:marTop w:val="0"/>
      <w:marBottom w:val="0"/>
      <w:divBdr>
        <w:top w:val="none" w:sz="0" w:space="0" w:color="auto"/>
        <w:left w:val="none" w:sz="0" w:space="0" w:color="auto"/>
        <w:bottom w:val="none" w:sz="0" w:space="0" w:color="auto"/>
        <w:right w:val="none" w:sz="0" w:space="0" w:color="auto"/>
      </w:divBdr>
    </w:div>
    <w:div w:id="1598517212">
      <w:bodyDiv w:val="1"/>
      <w:marLeft w:val="0"/>
      <w:marRight w:val="0"/>
      <w:marTop w:val="0"/>
      <w:marBottom w:val="0"/>
      <w:divBdr>
        <w:top w:val="none" w:sz="0" w:space="0" w:color="auto"/>
        <w:left w:val="none" w:sz="0" w:space="0" w:color="auto"/>
        <w:bottom w:val="none" w:sz="0" w:space="0" w:color="auto"/>
        <w:right w:val="none" w:sz="0" w:space="0" w:color="auto"/>
      </w:divBdr>
    </w:div>
    <w:div w:id="1613174284">
      <w:bodyDiv w:val="1"/>
      <w:marLeft w:val="0"/>
      <w:marRight w:val="0"/>
      <w:marTop w:val="0"/>
      <w:marBottom w:val="0"/>
      <w:divBdr>
        <w:top w:val="none" w:sz="0" w:space="0" w:color="auto"/>
        <w:left w:val="none" w:sz="0" w:space="0" w:color="auto"/>
        <w:bottom w:val="none" w:sz="0" w:space="0" w:color="auto"/>
        <w:right w:val="none" w:sz="0" w:space="0" w:color="auto"/>
      </w:divBdr>
    </w:div>
    <w:div w:id="1624923316">
      <w:bodyDiv w:val="1"/>
      <w:marLeft w:val="0"/>
      <w:marRight w:val="0"/>
      <w:marTop w:val="0"/>
      <w:marBottom w:val="0"/>
      <w:divBdr>
        <w:top w:val="none" w:sz="0" w:space="0" w:color="auto"/>
        <w:left w:val="none" w:sz="0" w:space="0" w:color="auto"/>
        <w:bottom w:val="none" w:sz="0" w:space="0" w:color="auto"/>
        <w:right w:val="none" w:sz="0" w:space="0" w:color="auto"/>
      </w:divBdr>
    </w:div>
    <w:div w:id="1627421500">
      <w:bodyDiv w:val="1"/>
      <w:marLeft w:val="0"/>
      <w:marRight w:val="0"/>
      <w:marTop w:val="0"/>
      <w:marBottom w:val="0"/>
      <w:divBdr>
        <w:top w:val="none" w:sz="0" w:space="0" w:color="auto"/>
        <w:left w:val="none" w:sz="0" w:space="0" w:color="auto"/>
        <w:bottom w:val="none" w:sz="0" w:space="0" w:color="auto"/>
        <w:right w:val="none" w:sz="0" w:space="0" w:color="auto"/>
      </w:divBdr>
    </w:div>
    <w:div w:id="1631016062">
      <w:bodyDiv w:val="1"/>
      <w:marLeft w:val="0"/>
      <w:marRight w:val="0"/>
      <w:marTop w:val="0"/>
      <w:marBottom w:val="0"/>
      <w:divBdr>
        <w:top w:val="none" w:sz="0" w:space="0" w:color="auto"/>
        <w:left w:val="none" w:sz="0" w:space="0" w:color="auto"/>
        <w:bottom w:val="none" w:sz="0" w:space="0" w:color="auto"/>
        <w:right w:val="none" w:sz="0" w:space="0" w:color="auto"/>
      </w:divBdr>
    </w:div>
    <w:div w:id="1631859129">
      <w:bodyDiv w:val="1"/>
      <w:marLeft w:val="0"/>
      <w:marRight w:val="0"/>
      <w:marTop w:val="0"/>
      <w:marBottom w:val="0"/>
      <w:divBdr>
        <w:top w:val="none" w:sz="0" w:space="0" w:color="auto"/>
        <w:left w:val="none" w:sz="0" w:space="0" w:color="auto"/>
        <w:bottom w:val="none" w:sz="0" w:space="0" w:color="auto"/>
        <w:right w:val="none" w:sz="0" w:space="0" w:color="auto"/>
      </w:divBdr>
    </w:div>
    <w:div w:id="1632126726">
      <w:bodyDiv w:val="1"/>
      <w:marLeft w:val="0"/>
      <w:marRight w:val="0"/>
      <w:marTop w:val="0"/>
      <w:marBottom w:val="0"/>
      <w:divBdr>
        <w:top w:val="none" w:sz="0" w:space="0" w:color="auto"/>
        <w:left w:val="none" w:sz="0" w:space="0" w:color="auto"/>
        <w:bottom w:val="none" w:sz="0" w:space="0" w:color="auto"/>
        <w:right w:val="none" w:sz="0" w:space="0" w:color="auto"/>
      </w:divBdr>
    </w:div>
    <w:div w:id="1634094458">
      <w:bodyDiv w:val="1"/>
      <w:marLeft w:val="0"/>
      <w:marRight w:val="0"/>
      <w:marTop w:val="0"/>
      <w:marBottom w:val="0"/>
      <w:divBdr>
        <w:top w:val="none" w:sz="0" w:space="0" w:color="auto"/>
        <w:left w:val="none" w:sz="0" w:space="0" w:color="auto"/>
        <w:bottom w:val="none" w:sz="0" w:space="0" w:color="auto"/>
        <w:right w:val="none" w:sz="0" w:space="0" w:color="auto"/>
      </w:divBdr>
    </w:div>
    <w:div w:id="1637491303">
      <w:bodyDiv w:val="1"/>
      <w:marLeft w:val="0"/>
      <w:marRight w:val="0"/>
      <w:marTop w:val="0"/>
      <w:marBottom w:val="0"/>
      <w:divBdr>
        <w:top w:val="none" w:sz="0" w:space="0" w:color="auto"/>
        <w:left w:val="none" w:sz="0" w:space="0" w:color="auto"/>
        <w:bottom w:val="none" w:sz="0" w:space="0" w:color="auto"/>
        <w:right w:val="none" w:sz="0" w:space="0" w:color="auto"/>
      </w:divBdr>
    </w:div>
    <w:div w:id="1638103563">
      <w:bodyDiv w:val="1"/>
      <w:marLeft w:val="0"/>
      <w:marRight w:val="0"/>
      <w:marTop w:val="0"/>
      <w:marBottom w:val="0"/>
      <w:divBdr>
        <w:top w:val="none" w:sz="0" w:space="0" w:color="auto"/>
        <w:left w:val="none" w:sz="0" w:space="0" w:color="auto"/>
        <w:bottom w:val="none" w:sz="0" w:space="0" w:color="auto"/>
        <w:right w:val="none" w:sz="0" w:space="0" w:color="auto"/>
      </w:divBdr>
    </w:div>
    <w:div w:id="1640186247">
      <w:bodyDiv w:val="1"/>
      <w:marLeft w:val="0"/>
      <w:marRight w:val="0"/>
      <w:marTop w:val="0"/>
      <w:marBottom w:val="0"/>
      <w:divBdr>
        <w:top w:val="none" w:sz="0" w:space="0" w:color="auto"/>
        <w:left w:val="none" w:sz="0" w:space="0" w:color="auto"/>
        <w:bottom w:val="none" w:sz="0" w:space="0" w:color="auto"/>
        <w:right w:val="none" w:sz="0" w:space="0" w:color="auto"/>
      </w:divBdr>
    </w:div>
    <w:div w:id="1642492833">
      <w:bodyDiv w:val="1"/>
      <w:marLeft w:val="0"/>
      <w:marRight w:val="0"/>
      <w:marTop w:val="0"/>
      <w:marBottom w:val="0"/>
      <w:divBdr>
        <w:top w:val="none" w:sz="0" w:space="0" w:color="auto"/>
        <w:left w:val="none" w:sz="0" w:space="0" w:color="auto"/>
        <w:bottom w:val="none" w:sz="0" w:space="0" w:color="auto"/>
        <w:right w:val="none" w:sz="0" w:space="0" w:color="auto"/>
      </w:divBdr>
    </w:div>
    <w:div w:id="1644041852">
      <w:bodyDiv w:val="1"/>
      <w:marLeft w:val="0"/>
      <w:marRight w:val="0"/>
      <w:marTop w:val="0"/>
      <w:marBottom w:val="0"/>
      <w:divBdr>
        <w:top w:val="none" w:sz="0" w:space="0" w:color="auto"/>
        <w:left w:val="none" w:sz="0" w:space="0" w:color="auto"/>
        <w:bottom w:val="none" w:sz="0" w:space="0" w:color="auto"/>
        <w:right w:val="none" w:sz="0" w:space="0" w:color="auto"/>
      </w:divBdr>
    </w:div>
    <w:div w:id="1644652816">
      <w:bodyDiv w:val="1"/>
      <w:marLeft w:val="0"/>
      <w:marRight w:val="0"/>
      <w:marTop w:val="0"/>
      <w:marBottom w:val="0"/>
      <w:divBdr>
        <w:top w:val="none" w:sz="0" w:space="0" w:color="auto"/>
        <w:left w:val="none" w:sz="0" w:space="0" w:color="auto"/>
        <w:bottom w:val="none" w:sz="0" w:space="0" w:color="auto"/>
        <w:right w:val="none" w:sz="0" w:space="0" w:color="auto"/>
      </w:divBdr>
    </w:div>
    <w:div w:id="1645811979">
      <w:bodyDiv w:val="1"/>
      <w:marLeft w:val="0"/>
      <w:marRight w:val="0"/>
      <w:marTop w:val="0"/>
      <w:marBottom w:val="0"/>
      <w:divBdr>
        <w:top w:val="none" w:sz="0" w:space="0" w:color="auto"/>
        <w:left w:val="none" w:sz="0" w:space="0" w:color="auto"/>
        <w:bottom w:val="none" w:sz="0" w:space="0" w:color="auto"/>
        <w:right w:val="none" w:sz="0" w:space="0" w:color="auto"/>
      </w:divBdr>
    </w:div>
    <w:div w:id="1649935359">
      <w:bodyDiv w:val="1"/>
      <w:marLeft w:val="0"/>
      <w:marRight w:val="0"/>
      <w:marTop w:val="0"/>
      <w:marBottom w:val="0"/>
      <w:divBdr>
        <w:top w:val="none" w:sz="0" w:space="0" w:color="auto"/>
        <w:left w:val="none" w:sz="0" w:space="0" w:color="auto"/>
        <w:bottom w:val="none" w:sz="0" w:space="0" w:color="auto"/>
        <w:right w:val="none" w:sz="0" w:space="0" w:color="auto"/>
      </w:divBdr>
    </w:div>
    <w:div w:id="1659378532">
      <w:bodyDiv w:val="1"/>
      <w:marLeft w:val="0"/>
      <w:marRight w:val="0"/>
      <w:marTop w:val="0"/>
      <w:marBottom w:val="0"/>
      <w:divBdr>
        <w:top w:val="none" w:sz="0" w:space="0" w:color="auto"/>
        <w:left w:val="none" w:sz="0" w:space="0" w:color="auto"/>
        <w:bottom w:val="none" w:sz="0" w:space="0" w:color="auto"/>
        <w:right w:val="none" w:sz="0" w:space="0" w:color="auto"/>
      </w:divBdr>
    </w:div>
    <w:div w:id="1665477063">
      <w:bodyDiv w:val="1"/>
      <w:marLeft w:val="0"/>
      <w:marRight w:val="0"/>
      <w:marTop w:val="0"/>
      <w:marBottom w:val="0"/>
      <w:divBdr>
        <w:top w:val="none" w:sz="0" w:space="0" w:color="auto"/>
        <w:left w:val="none" w:sz="0" w:space="0" w:color="auto"/>
        <w:bottom w:val="none" w:sz="0" w:space="0" w:color="auto"/>
        <w:right w:val="none" w:sz="0" w:space="0" w:color="auto"/>
      </w:divBdr>
    </w:div>
    <w:div w:id="1672950584">
      <w:bodyDiv w:val="1"/>
      <w:marLeft w:val="0"/>
      <w:marRight w:val="0"/>
      <w:marTop w:val="0"/>
      <w:marBottom w:val="0"/>
      <w:divBdr>
        <w:top w:val="none" w:sz="0" w:space="0" w:color="auto"/>
        <w:left w:val="none" w:sz="0" w:space="0" w:color="auto"/>
        <w:bottom w:val="none" w:sz="0" w:space="0" w:color="auto"/>
        <w:right w:val="none" w:sz="0" w:space="0" w:color="auto"/>
      </w:divBdr>
    </w:div>
    <w:div w:id="1678460506">
      <w:bodyDiv w:val="1"/>
      <w:marLeft w:val="0"/>
      <w:marRight w:val="0"/>
      <w:marTop w:val="0"/>
      <w:marBottom w:val="0"/>
      <w:divBdr>
        <w:top w:val="none" w:sz="0" w:space="0" w:color="auto"/>
        <w:left w:val="none" w:sz="0" w:space="0" w:color="auto"/>
        <w:bottom w:val="none" w:sz="0" w:space="0" w:color="auto"/>
        <w:right w:val="none" w:sz="0" w:space="0" w:color="auto"/>
      </w:divBdr>
    </w:div>
    <w:div w:id="1679772121">
      <w:bodyDiv w:val="1"/>
      <w:marLeft w:val="0"/>
      <w:marRight w:val="0"/>
      <w:marTop w:val="0"/>
      <w:marBottom w:val="0"/>
      <w:divBdr>
        <w:top w:val="none" w:sz="0" w:space="0" w:color="auto"/>
        <w:left w:val="none" w:sz="0" w:space="0" w:color="auto"/>
        <w:bottom w:val="none" w:sz="0" w:space="0" w:color="auto"/>
        <w:right w:val="none" w:sz="0" w:space="0" w:color="auto"/>
      </w:divBdr>
    </w:div>
    <w:div w:id="1683169686">
      <w:bodyDiv w:val="1"/>
      <w:marLeft w:val="0"/>
      <w:marRight w:val="0"/>
      <w:marTop w:val="0"/>
      <w:marBottom w:val="0"/>
      <w:divBdr>
        <w:top w:val="none" w:sz="0" w:space="0" w:color="auto"/>
        <w:left w:val="none" w:sz="0" w:space="0" w:color="auto"/>
        <w:bottom w:val="none" w:sz="0" w:space="0" w:color="auto"/>
        <w:right w:val="none" w:sz="0" w:space="0" w:color="auto"/>
      </w:divBdr>
    </w:div>
    <w:div w:id="1691570439">
      <w:bodyDiv w:val="1"/>
      <w:marLeft w:val="0"/>
      <w:marRight w:val="0"/>
      <w:marTop w:val="0"/>
      <w:marBottom w:val="0"/>
      <w:divBdr>
        <w:top w:val="none" w:sz="0" w:space="0" w:color="auto"/>
        <w:left w:val="none" w:sz="0" w:space="0" w:color="auto"/>
        <w:bottom w:val="none" w:sz="0" w:space="0" w:color="auto"/>
        <w:right w:val="none" w:sz="0" w:space="0" w:color="auto"/>
      </w:divBdr>
    </w:div>
    <w:div w:id="1693265078">
      <w:bodyDiv w:val="1"/>
      <w:marLeft w:val="0"/>
      <w:marRight w:val="0"/>
      <w:marTop w:val="0"/>
      <w:marBottom w:val="0"/>
      <w:divBdr>
        <w:top w:val="none" w:sz="0" w:space="0" w:color="auto"/>
        <w:left w:val="none" w:sz="0" w:space="0" w:color="auto"/>
        <w:bottom w:val="none" w:sz="0" w:space="0" w:color="auto"/>
        <w:right w:val="none" w:sz="0" w:space="0" w:color="auto"/>
      </w:divBdr>
    </w:div>
    <w:div w:id="1695619076">
      <w:bodyDiv w:val="1"/>
      <w:marLeft w:val="0"/>
      <w:marRight w:val="0"/>
      <w:marTop w:val="0"/>
      <w:marBottom w:val="0"/>
      <w:divBdr>
        <w:top w:val="none" w:sz="0" w:space="0" w:color="auto"/>
        <w:left w:val="none" w:sz="0" w:space="0" w:color="auto"/>
        <w:bottom w:val="none" w:sz="0" w:space="0" w:color="auto"/>
        <w:right w:val="none" w:sz="0" w:space="0" w:color="auto"/>
      </w:divBdr>
    </w:div>
    <w:div w:id="1696494252">
      <w:bodyDiv w:val="1"/>
      <w:marLeft w:val="0"/>
      <w:marRight w:val="0"/>
      <w:marTop w:val="0"/>
      <w:marBottom w:val="0"/>
      <w:divBdr>
        <w:top w:val="none" w:sz="0" w:space="0" w:color="auto"/>
        <w:left w:val="none" w:sz="0" w:space="0" w:color="auto"/>
        <w:bottom w:val="none" w:sz="0" w:space="0" w:color="auto"/>
        <w:right w:val="none" w:sz="0" w:space="0" w:color="auto"/>
      </w:divBdr>
    </w:div>
    <w:div w:id="1703942252">
      <w:bodyDiv w:val="1"/>
      <w:marLeft w:val="0"/>
      <w:marRight w:val="0"/>
      <w:marTop w:val="0"/>
      <w:marBottom w:val="0"/>
      <w:divBdr>
        <w:top w:val="none" w:sz="0" w:space="0" w:color="auto"/>
        <w:left w:val="none" w:sz="0" w:space="0" w:color="auto"/>
        <w:bottom w:val="none" w:sz="0" w:space="0" w:color="auto"/>
        <w:right w:val="none" w:sz="0" w:space="0" w:color="auto"/>
      </w:divBdr>
    </w:div>
    <w:div w:id="1716851306">
      <w:bodyDiv w:val="1"/>
      <w:marLeft w:val="0"/>
      <w:marRight w:val="0"/>
      <w:marTop w:val="0"/>
      <w:marBottom w:val="0"/>
      <w:divBdr>
        <w:top w:val="none" w:sz="0" w:space="0" w:color="auto"/>
        <w:left w:val="none" w:sz="0" w:space="0" w:color="auto"/>
        <w:bottom w:val="none" w:sz="0" w:space="0" w:color="auto"/>
        <w:right w:val="none" w:sz="0" w:space="0" w:color="auto"/>
      </w:divBdr>
    </w:div>
    <w:div w:id="1717701649">
      <w:bodyDiv w:val="1"/>
      <w:marLeft w:val="0"/>
      <w:marRight w:val="0"/>
      <w:marTop w:val="0"/>
      <w:marBottom w:val="0"/>
      <w:divBdr>
        <w:top w:val="none" w:sz="0" w:space="0" w:color="auto"/>
        <w:left w:val="none" w:sz="0" w:space="0" w:color="auto"/>
        <w:bottom w:val="none" w:sz="0" w:space="0" w:color="auto"/>
        <w:right w:val="none" w:sz="0" w:space="0" w:color="auto"/>
      </w:divBdr>
    </w:div>
    <w:div w:id="1720127300">
      <w:bodyDiv w:val="1"/>
      <w:marLeft w:val="0"/>
      <w:marRight w:val="0"/>
      <w:marTop w:val="0"/>
      <w:marBottom w:val="0"/>
      <w:divBdr>
        <w:top w:val="none" w:sz="0" w:space="0" w:color="auto"/>
        <w:left w:val="none" w:sz="0" w:space="0" w:color="auto"/>
        <w:bottom w:val="none" w:sz="0" w:space="0" w:color="auto"/>
        <w:right w:val="none" w:sz="0" w:space="0" w:color="auto"/>
      </w:divBdr>
    </w:div>
    <w:div w:id="1720283223">
      <w:bodyDiv w:val="1"/>
      <w:marLeft w:val="0"/>
      <w:marRight w:val="0"/>
      <w:marTop w:val="0"/>
      <w:marBottom w:val="0"/>
      <w:divBdr>
        <w:top w:val="none" w:sz="0" w:space="0" w:color="auto"/>
        <w:left w:val="none" w:sz="0" w:space="0" w:color="auto"/>
        <w:bottom w:val="none" w:sz="0" w:space="0" w:color="auto"/>
        <w:right w:val="none" w:sz="0" w:space="0" w:color="auto"/>
      </w:divBdr>
    </w:div>
    <w:div w:id="1720779543">
      <w:bodyDiv w:val="1"/>
      <w:marLeft w:val="0"/>
      <w:marRight w:val="0"/>
      <w:marTop w:val="0"/>
      <w:marBottom w:val="0"/>
      <w:divBdr>
        <w:top w:val="none" w:sz="0" w:space="0" w:color="auto"/>
        <w:left w:val="none" w:sz="0" w:space="0" w:color="auto"/>
        <w:bottom w:val="none" w:sz="0" w:space="0" w:color="auto"/>
        <w:right w:val="none" w:sz="0" w:space="0" w:color="auto"/>
      </w:divBdr>
    </w:div>
    <w:div w:id="1723363560">
      <w:bodyDiv w:val="1"/>
      <w:marLeft w:val="0"/>
      <w:marRight w:val="0"/>
      <w:marTop w:val="0"/>
      <w:marBottom w:val="0"/>
      <w:divBdr>
        <w:top w:val="none" w:sz="0" w:space="0" w:color="auto"/>
        <w:left w:val="none" w:sz="0" w:space="0" w:color="auto"/>
        <w:bottom w:val="none" w:sz="0" w:space="0" w:color="auto"/>
        <w:right w:val="none" w:sz="0" w:space="0" w:color="auto"/>
      </w:divBdr>
    </w:div>
    <w:div w:id="1725445986">
      <w:bodyDiv w:val="1"/>
      <w:marLeft w:val="0"/>
      <w:marRight w:val="0"/>
      <w:marTop w:val="0"/>
      <w:marBottom w:val="0"/>
      <w:divBdr>
        <w:top w:val="none" w:sz="0" w:space="0" w:color="auto"/>
        <w:left w:val="none" w:sz="0" w:space="0" w:color="auto"/>
        <w:bottom w:val="none" w:sz="0" w:space="0" w:color="auto"/>
        <w:right w:val="none" w:sz="0" w:space="0" w:color="auto"/>
      </w:divBdr>
    </w:div>
    <w:div w:id="1730299474">
      <w:bodyDiv w:val="1"/>
      <w:marLeft w:val="0"/>
      <w:marRight w:val="0"/>
      <w:marTop w:val="0"/>
      <w:marBottom w:val="0"/>
      <w:divBdr>
        <w:top w:val="none" w:sz="0" w:space="0" w:color="auto"/>
        <w:left w:val="none" w:sz="0" w:space="0" w:color="auto"/>
        <w:bottom w:val="none" w:sz="0" w:space="0" w:color="auto"/>
        <w:right w:val="none" w:sz="0" w:space="0" w:color="auto"/>
      </w:divBdr>
      <w:divsChild>
        <w:div w:id="72167714">
          <w:marLeft w:val="1080"/>
          <w:marRight w:val="0"/>
          <w:marTop w:val="100"/>
          <w:marBottom w:val="0"/>
          <w:divBdr>
            <w:top w:val="none" w:sz="0" w:space="0" w:color="auto"/>
            <w:left w:val="none" w:sz="0" w:space="0" w:color="auto"/>
            <w:bottom w:val="none" w:sz="0" w:space="0" w:color="auto"/>
            <w:right w:val="none" w:sz="0" w:space="0" w:color="auto"/>
          </w:divBdr>
        </w:div>
        <w:div w:id="487865860">
          <w:marLeft w:val="1080"/>
          <w:marRight w:val="0"/>
          <w:marTop w:val="100"/>
          <w:marBottom w:val="0"/>
          <w:divBdr>
            <w:top w:val="none" w:sz="0" w:space="0" w:color="auto"/>
            <w:left w:val="none" w:sz="0" w:space="0" w:color="auto"/>
            <w:bottom w:val="none" w:sz="0" w:space="0" w:color="auto"/>
            <w:right w:val="none" w:sz="0" w:space="0" w:color="auto"/>
          </w:divBdr>
        </w:div>
        <w:div w:id="855656082">
          <w:marLeft w:val="1080"/>
          <w:marRight w:val="0"/>
          <w:marTop w:val="100"/>
          <w:marBottom w:val="0"/>
          <w:divBdr>
            <w:top w:val="none" w:sz="0" w:space="0" w:color="auto"/>
            <w:left w:val="none" w:sz="0" w:space="0" w:color="auto"/>
            <w:bottom w:val="none" w:sz="0" w:space="0" w:color="auto"/>
            <w:right w:val="none" w:sz="0" w:space="0" w:color="auto"/>
          </w:divBdr>
        </w:div>
        <w:div w:id="877158370">
          <w:marLeft w:val="1080"/>
          <w:marRight w:val="0"/>
          <w:marTop w:val="100"/>
          <w:marBottom w:val="0"/>
          <w:divBdr>
            <w:top w:val="none" w:sz="0" w:space="0" w:color="auto"/>
            <w:left w:val="none" w:sz="0" w:space="0" w:color="auto"/>
            <w:bottom w:val="none" w:sz="0" w:space="0" w:color="auto"/>
            <w:right w:val="none" w:sz="0" w:space="0" w:color="auto"/>
          </w:divBdr>
        </w:div>
        <w:div w:id="904725754">
          <w:marLeft w:val="1080"/>
          <w:marRight w:val="0"/>
          <w:marTop w:val="100"/>
          <w:marBottom w:val="0"/>
          <w:divBdr>
            <w:top w:val="none" w:sz="0" w:space="0" w:color="auto"/>
            <w:left w:val="none" w:sz="0" w:space="0" w:color="auto"/>
            <w:bottom w:val="none" w:sz="0" w:space="0" w:color="auto"/>
            <w:right w:val="none" w:sz="0" w:space="0" w:color="auto"/>
          </w:divBdr>
        </w:div>
        <w:div w:id="941382740">
          <w:marLeft w:val="1080"/>
          <w:marRight w:val="0"/>
          <w:marTop w:val="100"/>
          <w:marBottom w:val="0"/>
          <w:divBdr>
            <w:top w:val="none" w:sz="0" w:space="0" w:color="auto"/>
            <w:left w:val="none" w:sz="0" w:space="0" w:color="auto"/>
            <w:bottom w:val="none" w:sz="0" w:space="0" w:color="auto"/>
            <w:right w:val="none" w:sz="0" w:space="0" w:color="auto"/>
          </w:divBdr>
        </w:div>
        <w:div w:id="944270736">
          <w:marLeft w:val="1080"/>
          <w:marRight w:val="0"/>
          <w:marTop w:val="100"/>
          <w:marBottom w:val="0"/>
          <w:divBdr>
            <w:top w:val="none" w:sz="0" w:space="0" w:color="auto"/>
            <w:left w:val="none" w:sz="0" w:space="0" w:color="auto"/>
            <w:bottom w:val="none" w:sz="0" w:space="0" w:color="auto"/>
            <w:right w:val="none" w:sz="0" w:space="0" w:color="auto"/>
          </w:divBdr>
        </w:div>
        <w:div w:id="1244409653">
          <w:marLeft w:val="1080"/>
          <w:marRight w:val="0"/>
          <w:marTop w:val="100"/>
          <w:marBottom w:val="0"/>
          <w:divBdr>
            <w:top w:val="none" w:sz="0" w:space="0" w:color="auto"/>
            <w:left w:val="none" w:sz="0" w:space="0" w:color="auto"/>
            <w:bottom w:val="none" w:sz="0" w:space="0" w:color="auto"/>
            <w:right w:val="none" w:sz="0" w:space="0" w:color="auto"/>
          </w:divBdr>
        </w:div>
        <w:div w:id="1358041408">
          <w:marLeft w:val="1080"/>
          <w:marRight w:val="0"/>
          <w:marTop w:val="100"/>
          <w:marBottom w:val="0"/>
          <w:divBdr>
            <w:top w:val="none" w:sz="0" w:space="0" w:color="auto"/>
            <w:left w:val="none" w:sz="0" w:space="0" w:color="auto"/>
            <w:bottom w:val="none" w:sz="0" w:space="0" w:color="auto"/>
            <w:right w:val="none" w:sz="0" w:space="0" w:color="auto"/>
          </w:divBdr>
        </w:div>
        <w:div w:id="1489201784">
          <w:marLeft w:val="1080"/>
          <w:marRight w:val="0"/>
          <w:marTop w:val="100"/>
          <w:marBottom w:val="0"/>
          <w:divBdr>
            <w:top w:val="none" w:sz="0" w:space="0" w:color="auto"/>
            <w:left w:val="none" w:sz="0" w:space="0" w:color="auto"/>
            <w:bottom w:val="none" w:sz="0" w:space="0" w:color="auto"/>
            <w:right w:val="none" w:sz="0" w:space="0" w:color="auto"/>
          </w:divBdr>
        </w:div>
        <w:div w:id="1762556992">
          <w:marLeft w:val="1080"/>
          <w:marRight w:val="0"/>
          <w:marTop w:val="100"/>
          <w:marBottom w:val="0"/>
          <w:divBdr>
            <w:top w:val="none" w:sz="0" w:space="0" w:color="auto"/>
            <w:left w:val="none" w:sz="0" w:space="0" w:color="auto"/>
            <w:bottom w:val="none" w:sz="0" w:space="0" w:color="auto"/>
            <w:right w:val="none" w:sz="0" w:space="0" w:color="auto"/>
          </w:divBdr>
        </w:div>
        <w:div w:id="1895047684">
          <w:marLeft w:val="1080"/>
          <w:marRight w:val="0"/>
          <w:marTop w:val="100"/>
          <w:marBottom w:val="0"/>
          <w:divBdr>
            <w:top w:val="none" w:sz="0" w:space="0" w:color="auto"/>
            <w:left w:val="none" w:sz="0" w:space="0" w:color="auto"/>
            <w:bottom w:val="none" w:sz="0" w:space="0" w:color="auto"/>
            <w:right w:val="none" w:sz="0" w:space="0" w:color="auto"/>
          </w:divBdr>
        </w:div>
      </w:divsChild>
    </w:div>
    <w:div w:id="1731418409">
      <w:bodyDiv w:val="1"/>
      <w:marLeft w:val="0"/>
      <w:marRight w:val="0"/>
      <w:marTop w:val="0"/>
      <w:marBottom w:val="0"/>
      <w:divBdr>
        <w:top w:val="none" w:sz="0" w:space="0" w:color="auto"/>
        <w:left w:val="none" w:sz="0" w:space="0" w:color="auto"/>
        <w:bottom w:val="none" w:sz="0" w:space="0" w:color="auto"/>
        <w:right w:val="none" w:sz="0" w:space="0" w:color="auto"/>
      </w:divBdr>
    </w:div>
    <w:div w:id="1736586880">
      <w:bodyDiv w:val="1"/>
      <w:marLeft w:val="0"/>
      <w:marRight w:val="0"/>
      <w:marTop w:val="0"/>
      <w:marBottom w:val="0"/>
      <w:divBdr>
        <w:top w:val="none" w:sz="0" w:space="0" w:color="auto"/>
        <w:left w:val="none" w:sz="0" w:space="0" w:color="auto"/>
        <w:bottom w:val="none" w:sz="0" w:space="0" w:color="auto"/>
        <w:right w:val="none" w:sz="0" w:space="0" w:color="auto"/>
      </w:divBdr>
    </w:div>
    <w:div w:id="1736857244">
      <w:bodyDiv w:val="1"/>
      <w:marLeft w:val="0"/>
      <w:marRight w:val="0"/>
      <w:marTop w:val="0"/>
      <w:marBottom w:val="0"/>
      <w:divBdr>
        <w:top w:val="none" w:sz="0" w:space="0" w:color="auto"/>
        <w:left w:val="none" w:sz="0" w:space="0" w:color="auto"/>
        <w:bottom w:val="none" w:sz="0" w:space="0" w:color="auto"/>
        <w:right w:val="none" w:sz="0" w:space="0" w:color="auto"/>
      </w:divBdr>
    </w:div>
    <w:div w:id="1736932373">
      <w:bodyDiv w:val="1"/>
      <w:marLeft w:val="0"/>
      <w:marRight w:val="0"/>
      <w:marTop w:val="0"/>
      <w:marBottom w:val="0"/>
      <w:divBdr>
        <w:top w:val="none" w:sz="0" w:space="0" w:color="auto"/>
        <w:left w:val="none" w:sz="0" w:space="0" w:color="auto"/>
        <w:bottom w:val="none" w:sz="0" w:space="0" w:color="auto"/>
        <w:right w:val="none" w:sz="0" w:space="0" w:color="auto"/>
      </w:divBdr>
    </w:div>
    <w:div w:id="1737319248">
      <w:bodyDiv w:val="1"/>
      <w:marLeft w:val="0"/>
      <w:marRight w:val="0"/>
      <w:marTop w:val="0"/>
      <w:marBottom w:val="0"/>
      <w:divBdr>
        <w:top w:val="none" w:sz="0" w:space="0" w:color="auto"/>
        <w:left w:val="none" w:sz="0" w:space="0" w:color="auto"/>
        <w:bottom w:val="none" w:sz="0" w:space="0" w:color="auto"/>
        <w:right w:val="none" w:sz="0" w:space="0" w:color="auto"/>
      </w:divBdr>
    </w:div>
    <w:div w:id="1743065194">
      <w:bodyDiv w:val="1"/>
      <w:marLeft w:val="0"/>
      <w:marRight w:val="0"/>
      <w:marTop w:val="0"/>
      <w:marBottom w:val="0"/>
      <w:divBdr>
        <w:top w:val="none" w:sz="0" w:space="0" w:color="auto"/>
        <w:left w:val="none" w:sz="0" w:space="0" w:color="auto"/>
        <w:bottom w:val="none" w:sz="0" w:space="0" w:color="auto"/>
        <w:right w:val="none" w:sz="0" w:space="0" w:color="auto"/>
      </w:divBdr>
    </w:div>
    <w:div w:id="1745879406">
      <w:bodyDiv w:val="1"/>
      <w:marLeft w:val="0"/>
      <w:marRight w:val="0"/>
      <w:marTop w:val="0"/>
      <w:marBottom w:val="0"/>
      <w:divBdr>
        <w:top w:val="none" w:sz="0" w:space="0" w:color="auto"/>
        <w:left w:val="none" w:sz="0" w:space="0" w:color="auto"/>
        <w:bottom w:val="none" w:sz="0" w:space="0" w:color="auto"/>
        <w:right w:val="none" w:sz="0" w:space="0" w:color="auto"/>
      </w:divBdr>
    </w:div>
    <w:div w:id="1749691183">
      <w:bodyDiv w:val="1"/>
      <w:marLeft w:val="0"/>
      <w:marRight w:val="0"/>
      <w:marTop w:val="0"/>
      <w:marBottom w:val="0"/>
      <w:divBdr>
        <w:top w:val="none" w:sz="0" w:space="0" w:color="auto"/>
        <w:left w:val="none" w:sz="0" w:space="0" w:color="auto"/>
        <w:bottom w:val="none" w:sz="0" w:space="0" w:color="auto"/>
        <w:right w:val="none" w:sz="0" w:space="0" w:color="auto"/>
      </w:divBdr>
    </w:div>
    <w:div w:id="1752893468">
      <w:bodyDiv w:val="1"/>
      <w:marLeft w:val="0"/>
      <w:marRight w:val="0"/>
      <w:marTop w:val="0"/>
      <w:marBottom w:val="0"/>
      <w:divBdr>
        <w:top w:val="none" w:sz="0" w:space="0" w:color="auto"/>
        <w:left w:val="none" w:sz="0" w:space="0" w:color="auto"/>
        <w:bottom w:val="none" w:sz="0" w:space="0" w:color="auto"/>
        <w:right w:val="none" w:sz="0" w:space="0" w:color="auto"/>
      </w:divBdr>
    </w:div>
    <w:div w:id="1755197460">
      <w:bodyDiv w:val="1"/>
      <w:marLeft w:val="0"/>
      <w:marRight w:val="0"/>
      <w:marTop w:val="0"/>
      <w:marBottom w:val="0"/>
      <w:divBdr>
        <w:top w:val="none" w:sz="0" w:space="0" w:color="auto"/>
        <w:left w:val="none" w:sz="0" w:space="0" w:color="auto"/>
        <w:bottom w:val="none" w:sz="0" w:space="0" w:color="auto"/>
        <w:right w:val="none" w:sz="0" w:space="0" w:color="auto"/>
      </w:divBdr>
    </w:div>
    <w:div w:id="1758089831">
      <w:bodyDiv w:val="1"/>
      <w:marLeft w:val="0"/>
      <w:marRight w:val="0"/>
      <w:marTop w:val="0"/>
      <w:marBottom w:val="0"/>
      <w:divBdr>
        <w:top w:val="none" w:sz="0" w:space="0" w:color="auto"/>
        <w:left w:val="none" w:sz="0" w:space="0" w:color="auto"/>
        <w:bottom w:val="none" w:sz="0" w:space="0" w:color="auto"/>
        <w:right w:val="none" w:sz="0" w:space="0" w:color="auto"/>
      </w:divBdr>
    </w:div>
    <w:div w:id="1759012909">
      <w:bodyDiv w:val="1"/>
      <w:marLeft w:val="0"/>
      <w:marRight w:val="0"/>
      <w:marTop w:val="0"/>
      <w:marBottom w:val="0"/>
      <w:divBdr>
        <w:top w:val="none" w:sz="0" w:space="0" w:color="auto"/>
        <w:left w:val="none" w:sz="0" w:space="0" w:color="auto"/>
        <w:bottom w:val="none" w:sz="0" w:space="0" w:color="auto"/>
        <w:right w:val="none" w:sz="0" w:space="0" w:color="auto"/>
      </w:divBdr>
    </w:div>
    <w:div w:id="1766148836">
      <w:bodyDiv w:val="1"/>
      <w:marLeft w:val="0"/>
      <w:marRight w:val="0"/>
      <w:marTop w:val="0"/>
      <w:marBottom w:val="0"/>
      <w:divBdr>
        <w:top w:val="none" w:sz="0" w:space="0" w:color="auto"/>
        <w:left w:val="none" w:sz="0" w:space="0" w:color="auto"/>
        <w:bottom w:val="none" w:sz="0" w:space="0" w:color="auto"/>
        <w:right w:val="none" w:sz="0" w:space="0" w:color="auto"/>
      </w:divBdr>
    </w:div>
    <w:div w:id="1769234134">
      <w:bodyDiv w:val="1"/>
      <w:marLeft w:val="0"/>
      <w:marRight w:val="0"/>
      <w:marTop w:val="0"/>
      <w:marBottom w:val="0"/>
      <w:divBdr>
        <w:top w:val="none" w:sz="0" w:space="0" w:color="auto"/>
        <w:left w:val="none" w:sz="0" w:space="0" w:color="auto"/>
        <w:bottom w:val="none" w:sz="0" w:space="0" w:color="auto"/>
        <w:right w:val="none" w:sz="0" w:space="0" w:color="auto"/>
      </w:divBdr>
    </w:div>
    <w:div w:id="1770850790">
      <w:bodyDiv w:val="1"/>
      <w:marLeft w:val="0"/>
      <w:marRight w:val="0"/>
      <w:marTop w:val="0"/>
      <w:marBottom w:val="0"/>
      <w:divBdr>
        <w:top w:val="none" w:sz="0" w:space="0" w:color="auto"/>
        <w:left w:val="none" w:sz="0" w:space="0" w:color="auto"/>
        <w:bottom w:val="none" w:sz="0" w:space="0" w:color="auto"/>
        <w:right w:val="none" w:sz="0" w:space="0" w:color="auto"/>
      </w:divBdr>
    </w:div>
    <w:div w:id="1772387677">
      <w:bodyDiv w:val="1"/>
      <w:marLeft w:val="0"/>
      <w:marRight w:val="0"/>
      <w:marTop w:val="0"/>
      <w:marBottom w:val="0"/>
      <w:divBdr>
        <w:top w:val="none" w:sz="0" w:space="0" w:color="auto"/>
        <w:left w:val="none" w:sz="0" w:space="0" w:color="auto"/>
        <w:bottom w:val="none" w:sz="0" w:space="0" w:color="auto"/>
        <w:right w:val="none" w:sz="0" w:space="0" w:color="auto"/>
      </w:divBdr>
    </w:div>
    <w:div w:id="1776363134">
      <w:bodyDiv w:val="1"/>
      <w:marLeft w:val="0"/>
      <w:marRight w:val="0"/>
      <w:marTop w:val="0"/>
      <w:marBottom w:val="0"/>
      <w:divBdr>
        <w:top w:val="none" w:sz="0" w:space="0" w:color="auto"/>
        <w:left w:val="none" w:sz="0" w:space="0" w:color="auto"/>
        <w:bottom w:val="none" w:sz="0" w:space="0" w:color="auto"/>
        <w:right w:val="none" w:sz="0" w:space="0" w:color="auto"/>
      </w:divBdr>
    </w:div>
    <w:div w:id="1786193690">
      <w:bodyDiv w:val="1"/>
      <w:marLeft w:val="0"/>
      <w:marRight w:val="0"/>
      <w:marTop w:val="0"/>
      <w:marBottom w:val="0"/>
      <w:divBdr>
        <w:top w:val="none" w:sz="0" w:space="0" w:color="auto"/>
        <w:left w:val="none" w:sz="0" w:space="0" w:color="auto"/>
        <w:bottom w:val="none" w:sz="0" w:space="0" w:color="auto"/>
        <w:right w:val="none" w:sz="0" w:space="0" w:color="auto"/>
      </w:divBdr>
    </w:div>
    <w:div w:id="1791584451">
      <w:bodyDiv w:val="1"/>
      <w:marLeft w:val="0"/>
      <w:marRight w:val="0"/>
      <w:marTop w:val="0"/>
      <w:marBottom w:val="0"/>
      <w:divBdr>
        <w:top w:val="none" w:sz="0" w:space="0" w:color="auto"/>
        <w:left w:val="none" w:sz="0" w:space="0" w:color="auto"/>
        <w:bottom w:val="none" w:sz="0" w:space="0" w:color="auto"/>
        <w:right w:val="none" w:sz="0" w:space="0" w:color="auto"/>
      </w:divBdr>
    </w:div>
    <w:div w:id="1795513621">
      <w:bodyDiv w:val="1"/>
      <w:marLeft w:val="0"/>
      <w:marRight w:val="0"/>
      <w:marTop w:val="0"/>
      <w:marBottom w:val="0"/>
      <w:divBdr>
        <w:top w:val="none" w:sz="0" w:space="0" w:color="auto"/>
        <w:left w:val="none" w:sz="0" w:space="0" w:color="auto"/>
        <w:bottom w:val="none" w:sz="0" w:space="0" w:color="auto"/>
        <w:right w:val="none" w:sz="0" w:space="0" w:color="auto"/>
      </w:divBdr>
    </w:div>
    <w:div w:id="1796867417">
      <w:bodyDiv w:val="1"/>
      <w:marLeft w:val="0"/>
      <w:marRight w:val="0"/>
      <w:marTop w:val="0"/>
      <w:marBottom w:val="0"/>
      <w:divBdr>
        <w:top w:val="none" w:sz="0" w:space="0" w:color="auto"/>
        <w:left w:val="none" w:sz="0" w:space="0" w:color="auto"/>
        <w:bottom w:val="none" w:sz="0" w:space="0" w:color="auto"/>
        <w:right w:val="none" w:sz="0" w:space="0" w:color="auto"/>
      </w:divBdr>
    </w:div>
    <w:div w:id="1799181310">
      <w:bodyDiv w:val="1"/>
      <w:marLeft w:val="0"/>
      <w:marRight w:val="0"/>
      <w:marTop w:val="0"/>
      <w:marBottom w:val="0"/>
      <w:divBdr>
        <w:top w:val="none" w:sz="0" w:space="0" w:color="auto"/>
        <w:left w:val="none" w:sz="0" w:space="0" w:color="auto"/>
        <w:bottom w:val="none" w:sz="0" w:space="0" w:color="auto"/>
        <w:right w:val="none" w:sz="0" w:space="0" w:color="auto"/>
      </w:divBdr>
    </w:div>
    <w:div w:id="1801414092">
      <w:bodyDiv w:val="1"/>
      <w:marLeft w:val="0"/>
      <w:marRight w:val="0"/>
      <w:marTop w:val="0"/>
      <w:marBottom w:val="0"/>
      <w:divBdr>
        <w:top w:val="none" w:sz="0" w:space="0" w:color="auto"/>
        <w:left w:val="none" w:sz="0" w:space="0" w:color="auto"/>
        <w:bottom w:val="none" w:sz="0" w:space="0" w:color="auto"/>
        <w:right w:val="none" w:sz="0" w:space="0" w:color="auto"/>
      </w:divBdr>
    </w:div>
    <w:div w:id="1811089699">
      <w:bodyDiv w:val="1"/>
      <w:marLeft w:val="0"/>
      <w:marRight w:val="0"/>
      <w:marTop w:val="0"/>
      <w:marBottom w:val="0"/>
      <w:divBdr>
        <w:top w:val="none" w:sz="0" w:space="0" w:color="auto"/>
        <w:left w:val="none" w:sz="0" w:space="0" w:color="auto"/>
        <w:bottom w:val="none" w:sz="0" w:space="0" w:color="auto"/>
        <w:right w:val="none" w:sz="0" w:space="0" w:color="auto"/>
      </w:divBdr>
    </w:div>
    <w:div w:id="1813936939">
      <w:bodyDiv w:val="1"/>
      <w:marLeft w:val="0"/>
      <w:marRight w:val="0"/>
      <w:marTop w:val="0"/>
      <w:marBottom w:val="0"/>
      <w:divBdr>
        <w:top w:val="none" w:sz="0" w:space="0" w:color="auto"/>
        <w:left w:val="none" w:sz="0" w:space="0" w:color="auto"/>
        <w:bottom w:val="none" w:sz="0" w:space="0" w:color="auto"/>
        <w:right w:val="none" w:sz="0" w:space="0" w:color="auto"/>
      </w:divBdr>
    </w:div>
    <w:div w:id="1814785034">
      <w:bodyDiv w:val="1"/>
      <w:marLeft w:val="0"/>
      <w:marRight w:val="0"/>
      <w:marTop w:val="0"/>
      <w:marBottom w:val="0"/>
      <w:divBdr>
        <w:top w:val="none" w:sz="0" w:space="0" w:color="auto"/>
        <w:left w:val="none" w:sz="0" w:space="0" w:color="auto"/>
        <w:bottom w:val="none" w:sz="0" w:space="0" w:color="auto"/>
        <w:right w:val="none" w:sz="0" w:space="0" w:color="auto"/>
      </w:divBdr>
    </w:div>
    <w:div w:id="1815097179">
      <w:bodyDiv w:val="1"/>
      <w:marLeft w:val="0"/>
      <w:marRight w:val="0"/>
      <w:marTop w:val="0"/>
      <w:marBottom w:val="0"/>
      <w:divBdr>
        <w:top w:val="none" w:sz="0" w:space="0" w:color="auto"/>
        <w:left w:val="none" w:sz="0" w:space="0" w:color="auto"/>
        <w:bottom w:val="none" w:sz="0" w:space="0" w:color="auto"/>
        <w:right w:val="none" w:sz="0" w:space="0" w:color="auto"/>
      </w:divBdr>
    </w:div>
    <w:div w:id="1817182913">
      <w:bodyDiv w:val="1"/>
      <w:marLeft w:val="0"/>
      <w:marRight w:val="0"/>
      <w:marTop w:val="0"/>
      <w:marBottom w:val="0"/>
      <w:divBdr>
        <w:top w:val="none" w:sz="0" w:space="0" w:color="auto"/>
        <w:left w:val="none" w:sz="0" w:space="0" w:color="auto"/>
        <w:bottom w:val="none" w:sz="0" w:space="0" w:color="auto"/>
        <w:right w:val="none" w:sz="0" w:space="0" w:color="auto"/>
      </w:divBdr>
    </w:div>
    <w:div w:id="1818838986">
      <w:bodyDiv w:val="1"/>
      <w:marLeft w:val="0"/>
      <w:marRight w:val="0"/>
      <w:marTop w:val="0"/>
      <w:marBottom w:val="0"/>
      <w:divBdr>
        <w:top w:val="none" w:sz="0" w:space="0" w:color="auto"/>
        <w:left w:val="none" w:sz="0" w:space="0" w:color="auto"/>
        <w:bottom w:val="none" w:sz="0" w:space="0" w:color="auto"/>
        <w:right w:val="none" w:sz="0" w:space="0" w:color="auto"/>
      </w:divBdr>
    </w:div>
    <w:div w:id="1821269386">
      <w:bodyDiv w:val="1"/>
      <w:marLeft w:val="0"/>
      <w:marRight w:val="0"/>
      <w:marTop w:val="0"/>
      <w:marBottom w:val="0"/>
      <w:divBdr>
        <w:top w:val="none" w:sz="0" w:space="0" w:color="auto"/>
        <w:left w:val="none" w:sz="0" w:space="0" w:color="auto"/>
        <w:bottom w:val="none" w:sz="0" w:space="0" w:color="auto"/>
        <w:right w:val="none" w:sz="0" w:space="0" w:color="auto"/>
      </w:divBdr>
    </w:div>
    <w:div w:id="1821540040">
      <w:bodyDiv w:val="1"/>
      <w:marLeft w:val="0"/>
      <w:marRight w:val="0"/>
      <w:marTop w:val="0"/>
      <w:marBottom w:val="0"/>
      <w:divBdr>
        <w:top w:val="none" w:sz="0" w:space="0" w:color="auto"/>
        <w:left w:val="none" w:sz="0" w:space="0" w:color="auto"/>
        <w:bottom w:val="none" w:sz="0" w:space="0" w:color="auto"/>
        <w:right w:val="none" w:sz="0" w:space="0" w:color="auto"/>
      </w:divBdr>
    </w:div>
    <w:div w:id="1825969364">
      <w:bodyDiv w:val="1"/>
      <w:marLeft w:val="0"/>
      <w:marRight w:val="0"/>
      <w:marTop w:val="0"/>
      <w:marBottom w:val="0"/>
      <w:divBdr>
        <w:top w:val="none" w:sz="0" w:space="0" w:color="auto"/>
        <w:left w:val="none" w:sz="0" w:space="0" w:color="auto"/>
        <w:bottom w:val="none" w:sz="0" w:space="0" w:color="auto"/>
        <w:right w:val="none" w:sz="0" w:space="0" w:color="auto"/>
      </w:divBdr>
    </w:div>
    <w:div w:id="1828981401">
      <w:bodyDiv w:val="1"/>
      <w:marLeft w:val="0"/>
      <w:marRight w:val="0"/>
      <w:marTop w:val="0"/>
      <w:marBottom w:val="0"/>
      <w:divBdr>
        <w:top w:val="none" w:sz="0" w:space="0" w:color="auto"/>
        <w:left w:val="none" w:sz="0" w:space="0" w:color="auto"/>
        <w:bottom w:val="none" w:sz="0" w:space="0" w:color="auto"/>
        <w:right w:val="none" w:sz="0" w:space="0" w:color="auto"/>
      </w:divBdr>
    </w:div>
    <w:div w:id="1833250158">
      <w:bodyDiv w:val="1"/>
      <w:marLeft w:val="0"/>
      <w:marRight w:val="0"/>
      <w:marTop w:val="0"/>
      <w:marBottom w:val="0"/>
      <w:divBdr>
        <w:top w:val="none" w:sz="0" w:space="0" w:color="auto"/>
        <w:left w:val="none" w:sz="0" w:space="0" w:color="auto"/>
        <w:bottom w:val="none" w:sz="0" w:space="0" w:color="auto"/>
        <w:right w:val="none" w:sz="0" w:space="0" w:color="auto"/>
      </w:divBdr>
    </w:div>
    <w:div w:id="1834032391">
      <w:bodyDiv w:val="1"/>
      <w:marLeft w:val="0"/>
      <w:marRight w:val="0"/>
      <w:marTop w:val="0"/>
      <w:marBottom w:val="0"/>
      <w:divBdr>
        <w:top w:val="none" w:sz="0" w:space="0" w:color="auto"/>
        <w:left w:val="none" w:sz="0" w:space="0" w:color="auto"/>
        <w:bottom w:val="none" w:sz="0" w:space="0" w:color="auto"/>
        <w:right w:val="none" w:sz="0" w:space="0" w:color="auto"/>
      </w:divBdr>
    </w:div>
    <w:div w:id="1836335125">
      <w:bodyDiv w:val="1"/>
      <w:marLeft w:val="0"/>
      <w:marRight w:val="0"/>
      <w:marTop w:val="0"/>
      <w:marBottom w:val="0"/>
      <w:divBdr>
        <w:top w:val="none" w:sz="0" w:space="0" w:color="auto"/>
        <w:left w:val="none" w:sz="0" w:space="0" w:color="auto"/>
        <w:bottom w:val="none" w:sz="0" w:space="0" w:color="auto"/>
        <w:right w:val="none" w:sz="0" w:space="0" w:color="auto"/>
      </w:divBdr>
    </w:div>
    <w:div w:id="1837725456">
      <w:bodyDiv w:val="1"/>
      <w:marLeft w:val="0"/>
      <w:marRight w:val="0"/>
      <w:marTop w:val="0"/>
      <w:marBottom w:val="0"/>
      <w:divBdr>
        <w:top w:val="none" w:sz="0" w:space="0" w:color="auto"/>
        <w:left w:val="none" w:sz="0" w:space="0" w:color="auto"/>
        <w:bottom w:val="none" w:sz="0" w:space="0" w:color="auto"/>
        <w:right w:val="none" w:sz="0" w:space="0" w:color="auto"/>
      </w:divBdr>
    </w:div>
    <w:div w:id="1842238128">
      <w:bodyDiv w:val="1"/>
      <w:marLeft w:val="0"/>
      <w:marRight w:val="0"/>
      <w:marTop w:val="0"/>
      <w:marBottom w:val="0"/>
      <w:divBdr>
        <w:top w:val="none" w:sz="0" w:space="0" w:color="auto"/>
        <w:left w:val="none" w:sz="0" w:space="0" w:color="auto"/>
        <w:bottom w:val="none" w:sz="0" w:space="0" w:color="auto"/>
        <w:right w:val="none" w:sz="0" w:space="0" w:color="auto"/>
      </w:divBdr>
    </w:div>
    <w:div w:id="1848399481">
      <w:bodyDiv w:val="1"/>
      <w:marLeft w:val="0"/>
      <w:marRight w:val="0"/>
      <w:marTop w:val="0"/>
      <w:marBottom w:val="0"/>
      <w:divBdr>
        <w:top w:val="none" w:sz="0" w:space="0" w:color="auto"/>
        <w:left w:val="none" w:sz="0" w:space="0" w:color="auto"/>
        <w:bottom w:val="none" w:sz="0" w:space="0" w:color="auto"/>
        <w:right w:val="none" w:sz="0" w:space="0" w:color="auto"/>
      </w:divBdr>
    </w:div>
    <w:div w:id="1851523812">
      <w:bodyDiv w:val="1"/>
      <w:marLeft w:val="0"/>
      <w:marRight w:val="0"/>
      <w:marTop w:val="0"/>
      <w:marBottom w:val="0"/>
      <w:divBdr>
        <w:top w:val="none" w:sz="0" w:space="0" w:color="auto"/>
        <w:left w:val="none" w:sz="0" w:space="0" w:color="auto"/>
        <w:bottom w:val="none" w:sz="0" w:space="0" w:color="auto"/>
        <w:right w:val="none" w:sz="0" w:space="0" w:color="auto"/>
      </w:divBdr>
    </w:div>
    <w:div w:id="1859078505">
      <w:bodyDiv w:val="1"/>
      <w:marLeft w:val="0"/>
      <w:marRight w:val="0"/>
      <w:marTop w:val="0"/>
      <w:marBottom w:val="0"/>
      <w:divBdr>
        <w:top w:val="none" w:sz="0" w:space="0" w:color="auto"/>
        <w:left w:val="none" w:sz="0" w:space="0" w:color="auto"/>
        <w:bottom w:val="none" w:sz="0" w:space="0" w:color="auto"/>
        <w:right w:val="none" w:sz="0" w:space="0" w:color="auto"/>
      </w:divBdr>
    </w:div>
    <w:div w:id="1865828432">
      <w:bodyDiv w:val="1"/>
      <w:marLeft w:val="0"/>
      <w:marRight w:val="0"/>
      <w:marTop w:val="0"/>
      <w:marBottom w:val="0"/>
      <w:divBdr>
        <w:top w:val="none" w:sz="0" w:space="0" w:color="auto"/>
        <w:left w:val="none" w:sz="0" w:space="0" w:color="auto"/>
        <w:bottom w:val="none" w:sz="0" w:space="0" w:color="auto"/>
        <w:right w:val="none" w:sz="0" w:space="0" w:color="auto"/>
      </w:divBdr>
    </w:div>
    <w:div w:id="1869487571">
      <w:bodyDiv w:val="1"/>
      <w:marLeft w:val="0"/>
      <w:marRight w:val="0"/>
      <w:marTop w:val="0"/>
      <w:marBottom w:val="0"/>
      <w:divBdr>
        <w:top w:val="none" w:sz="0" w:space="0" w:color="auto"/>
        <w:left w:val="none" w:sz="0" w:space="0" w:color="auto"/>
        <w:bottom w:val="none" w:sz="0" w:space="0" w:color="auto"/>
        <w:right w:val="none" w:sz="0" w:space="0" w:color="auto"/>
      </w:divBdr>
    </w:div>
    <w:div w:id="1870409499">
      <w:bodyDiv w:val="1"/>
      <w:marLeft w:val="0"/>
      <w:marRight w:val="0"/>
      <w:marTop w:val="0"/>
      <w:marBottom w:val="0"/>
      <w:divBdr>
        <w:top w:val="none" w:sz="0" w:space="0" w:color="auto"/>
        <w:left w:val="none" w:sz="0" w:space="0" w:color="auto"/>
        <w:bottom w:val="none" w:sz="0" w:space="0" w:color="auto"/>
        <w:right w:val="none" w:sz="0" w:space="0" w:color="auto"/>
      </w:divBdr>
    </w:div>
    <w:div w:id="1872305282">
      <w:bodyDiv w:val="1"/>
      <w:marLeft w:val="0"/>
      <w:marRight w:val="0"/>
      <w:marTop w:val="0"/>
      <w:marBottom w:val="0"/>
      <w:divBdr>
        <w:top w:val="none" w:sz="0" w:space="0" w:color="auto"/>
        <w:left w:val="none" w:sz="0" w:space="0" w:color="auto"/>
        <w:bottom w:val="none" w:sz="0" w:space="0" w:color="auto"/>
        <w:right w:val="none" w:sz="0" w:space="0" w:color="auto"/>
      </w:divBdr>
    </w:div>
    <w:div w:id="1874876715">
      <w:bodyDiv w:val="1"/>
      <w:marLeft w:val="0"/>
      <w:marRight w:val="0"/>
      <w:marTop w:val="0"/>
      <w:marBottom w:val="0"/>
      <w:divBdr>
        <w:top w:val="none" w:sz="0" w:space="0" w:color="auto"/>
        <w:left w:val="none" w:sz="0" w:space="0" w:color="auto"/>
        <w:bottom w:val="none" w:sz="0" w:space="0" w:color="auto"/>
        <w:right w:val="none" w:sz="0" w:space="0" w:color="auto"/>
      </w:divBdr>
    </w:div>
    <w:div w:id="1875119530">
      <w:bodyDiv w:val="1"/>
      <w:marLeft w:val="0"/>
      <w:marRight w:val="0"/>
      <w:marTop w:val="0"/>
      <w:marBottom w:val="0"/>
      <w:divBdr>
        <w:top w:val="none" w:sz="0" w:space="0" w:color="auto"/>
        <w:left w:val="none" w:sz="0" w:space="0" w:color="auto"/>
        <w:bottom w:val="none" w:sz="0" w:space="0" w:color="auto"/>
        <w:right w:val="none" w:sz="0" w:space="0" w:color="auto"/>
      </w:divBdr>
    </w:div>
    <w:div w:id="1875461159">
      <w:bodyDiv w:val="1"/>
      <w:marLeft w:val="0"/>
      <w:marRight w:val="0"/>
      <w:marTop w:val="0"/>
      <w:marBottom w:val="0"/>
      <w:divBdr>
        <w:top w:val="none" w:sz="0" w:space="0" w:color="auto"/>
        <w:left w:val="none" w:sz="0" w:space="0" w:color="auto"/>
        <w:bottom w:val="none" w:sz="0" w:space="0" w:color="auto"/>
        <w:right w:val="none" w:sz="0" w:space="0" w:color="auto"/>
      </w:divBdr>
    </w:div>
    <w:div w:id="1883440703">
      <w:bodyDiv w:val="1"/>
      <w:marLeft w:val="0"/>
      <w:marRight w:val="0"/>
      <w:marTop w:val="0"/>
      <w:marBottom w:val="0"/>
      <w:divBdr>
        <w:top w:val="none" w:sz="0" w:space="0" w:color="auto"/>
        <w:left w:val="none" w:sz="0" w:space="0" w:color="auto"/>
        <w:bottom w:val="none" w:sz="0" w:space="0" w:color="auto"/>
        <w:right w:val="none" w:sz="0" w:space="0" w:color="auto"/>
      </w:divBdr>
    </w:div>
    <w:div w:id="1887176215">
      <w:bodyDiv w:val="1"/>
      <w:marLeft w:val="0"/>
      <w:marRight w:val="0"/>
      <w:marTop w:val="0"/>
      <w:marBottom w:val="0"/>
      <w:divBdr>
        <w:top w:val="none" w:sz="0" w:space="0" w:color="auto"/>
        <w:left w:val="none" w:sz="0" w:space="0" w:color="auto"/>
        <w:bottom w:val="none" w:sz="0" w:space="0" w:color="auto"/>
        <w:right w:val="none" w:sz="0" w:space="0" w:color="auto"/>
      </w:divBdr>
    </w:div>
    <w:div w:id="1888033123">
      <w:bodyDiv w:val="1"/>
      <w:marLeft w:val="0"/>
      <w:marRight w:val="0"/>
      <w:marTop w:val="0"/>
      <w:marBottom w:val="0"/>
      <w:divBdr>
        <w:top w:val="none" w:sz="0" w:space="0" w:color="auto"/>
        <w:left w:val="none" w:sz="0" w:space="0" w:color="auto"/>
        <w:bottom w:val="none" w:sz="0" w:space="0" w:color="auto"/>
        <w:right w:val="none" w:sz="0" w:space="0" w:color="auto"/>
      </w:divBdr>
    </w:div>
    <w:div w:id="1888759522">
      <w:bodyDiv w:val="1"/>
      <w:marLeft w:val="0"/>
      <w:marRight w:val="0"/>
      <w:marTop w:val="0"/>
      <w:marBottom w:val="0"/>
      <w:divBdr>
        <w:top w:val="none" w:sz="0" w:space="0" w:color="auto"/>
        <w:left w:val="none" w:sz="0" w:space="0" w:color="auto"/>
        <w:bottom w:val="none" w:sz="0" w:space="0" w:color="auto"/>
        <w:right w:val="none" w:sz="0" w:space="0" w:color="auto"/>
      </w:divBdr>
    </w:div>
    <w:div w:id="1889995523">
      <w:bodyDiv w:val="1"/>
      <w:marLeft w:val="0"/>
      <w:marRight w:val="0"/>
      <w:marTop w:val="0"/>
      <w:marBottom w:val="0"/>
      <w:divBdr>
        <w:top w:val="none" w:sz="0" w:space="0" w:color="auto"/>
        <w:left w:val="none" w:sz="0" w:space="0" w:color="auto"/>
        <w:bottom w:val="none" w:sz="0" w:space="0" w:color="auto"/>
        <w:right w:val="none" w:sz="0" w:space="0" w:color="auto"/>
      </w:divBdr>
    </w:div>
    <w:div w:id="1893466664">
      <w:bodyDiv w:val="1"/>
      <w:marLeft w:val="0"/>
      <w:marRight w:val="0"/>
      <w:marTop w:val="0"/>
      <w:marBottom w:val="0"/>
      <w:divBdr>
        <w:top w:val="none" w:sz="0" w:space="0" w:color="auto"/>
        <w:left w:val="none" w:sz="0" w:space="0" w:color="auto"/>
        <w:bottom w:val="none" w:sz="0" w:space="0" w:color="auto"/>
        <w:right w:val="none" w:sz="0" w:space="0" w:color="auto"/>
      </w:divBdr>
    </w:div>
    <w:div w:id="1894072408">
      <w:bodyDiv w:val="1"/>
      <w:marLeft w:val="0"/>
      <w:marRight w:val="0"/>
      <w:marTop w:val="0"/>
      <w:marBottom w:val="0"/>
      <w:divBdr>
        <w:top w:val="none" w:sz="0" w:space="0" w:color="auto"/>
        <w:left w:val="none" w:sz="0" w:space="0" w:color="auto"/>
        <w:bottom w:val="none" w:sz="0" w:space="0" w:color="auto"/>
        <w:right w:val="none" w:sz="0" w:space="0" w:color="auto"/>
      </w:divBdr>
    </w:div>
    <w:div w:id="1894150141">
      <w:bodyDiv w:val="1"/>
      <w:marLeft w:val="0"/>
      <w:marRight w:val="0"/>
      <w:marTop w:val="0"/>
      <w:marBottom w:val="0"/>
      <w:divBdr>
        <w:top w:val="none" w:sz="0" w:space="0" w:color="auto"/>
        <w:left w:val="none" w:sz="0" w:space="0" w:color="auto"/>
        <w:bottom w:val="none" w:sz="0" w:space="0" w:color="auto"/>
        <w:right w:val="none" w:sz="0" w:space="0" w:color="auto"/>
      </w:divBdr>
    </w:div>
    <w:div w:id="1895120076">
      <w:bodyDiv w:val="1"/>
      <w:marLeft w:val="0"/>
      <w:marRight w:val="0"/>
      <w:marTop w:val="0"/>
      <w:marBottom w:val="0"/>
      <w:divBdr>
        <w:top w:val="none" w:sz="0" w:space="0" w:color="auto"/>
        <w:left w:val="none" w:sz="0" w:space="0" w:color="auto"/>
        <w:bottom w:val="none" w:sz="0" w:space="0" w:color="auto"/>
        <w:right w:val="none" w:sz="0" w:space="0" w:color="auto"/>
      </w:divBdr>
    </w:div>
    <w:div w:id="1896161098">
      <w:bodyDiv w:val="1"/>
      <w:marLeft w:val="0"/>
      <w:marRight w:val="0"/>
      <w:marTop w:val="0"/>
      <w:marBottom w:val="0"/>
      <w:divBdr>
        <w:top w:val="none" w:sz="0" w:space="0" w:color="auto"/>
        <w:left w:val="none" w:sz="0" w:space="0" w:color="auto"/>
        <w:bottom w:val="none" w:sz="0" w:space="0" w:color="auto"/>
        <w:right w:val="none" w:sz="0" w:space="0" w:color="auto"/>
      </w:divBdr>
    </w:div>
    <w:div w:id="1896433878">
      <w:bodyDiv w:val="1"/>
      <w:marLeft w:val="0"/>
      <w:marRight w:val="0"/>
      <w:marTop w:val="0"/>
      <w:marBottom w:val="0"/>
      <w:divBdr>
        <w:top w:val="none" w:sz="0" w:space="0" w:color="auto"/>
        <w:left w:val="none" w:sz="0" w:space="0" w:color="auto"/>
        <w:bottom w:val="none" w:sz="0" w:space="0" w:color="auto"/>
        <w:right w:val="none" w:sz="0" w:space="0" w:color="auto"/>
      </w:divBdr>
    </w:div>
    <w:div w:id="1896576516">
      <w:bodyDiv w:val="1"/>
      <w:marLeft w:val="0"/>
      <w:marRight w:val="0"/>
      <w:marTop w:val="0"/>
      <w:marBottom w:val="0"/>
      <w:divBdr>
        <w:top w:val="none" w:sz="0" w:space="0" w:color="auto"/>
        <w:left w:val="none" w:sz="0" w:space="0" w:color="auto"/>
        <w:bottom w:val="none" w:sz="0" w:space="0" w:color="auto"/>
        <w:right w:val="none" w:sz="0" w:space="0" w:color="auto"/>
      </w:divBdr>
    </w:div>
    <w:div w:id="1900288834">
      <w:bodyDiv w:val="1"/>
      <w:marLeft w:val="0"/>
      <w:marRight w:val="0"/>
      <w:marTop w:val="0"/>
      <w:marBottom w:val="0"/>
      <w:divBdr>
        <w:top w:val="none" w:sz="0" w:space="0" w:color="auto"/>
        <w:left w:val="none" w:sz="0" w:space="0" w:color="auto"/>
        <w:bottom w:val="none" w:sz="0" w:space="0" w:color="auto"/>
        <w:right w:val="none" w:sz="0" w:space="0" w:color="auto"/>
      </w:divBdr>
    </w:div>
    <w:div w:id="1904638754">
      <w:bodyDiv w:val="1"/>
      <w:marLeft w:val="0"/>
      <w:marRight w:val="0"/>
      <w:marTop w:val="0"/>
      <w:marBottom w:val="0"/>
      <w:divBdr>
        <w:top w:val="none" w:sz="0" w:space="0" w:color="auto"/>
        <w:left w:val="none" w:sz="0" w:space="0" w:color="auto"/>
        <w:bottom w:val="none" w:sz="0" w:space="0" w:color="auto"/>
        <w:right w:val="none" w:sz="0" w:space="0" w:color="auto"/>
      </w:divBdr>
    </w:div>
    <w:div w:id="1916427293">
      <w:bodyDiv w:val="1"/>
      <w:marLeft w:val="0"/>
      <w:marRight w:val="0"/>
      <w:marTop w:val="0"/>
      <w:marBottom w:val="0"/>
      <w:divBdr>
        <w:top w:val="none" w:sz="0" w:space="0" w:color="auto"/>
        <w:left w:val="none" w:sz="0" w:space="0" w:color="auto"/>
        <w:bottom w:val="none" w:sz="0" w:space="0" w:color="auto"/>
        <w:right w:val="none" w:sz="0" w:space="0" w:color="auto"/>
      </w:divBdr>
    </w:div>
    <w:div w:id="1918175759">
      <w:bodyDiv w:val="1"/>
      <w:marLeft w:val="0"/>
      <w:marRight w:val="0"/>
      <w:marTop w:val="0"/>
      <w:marBottom w:val="0"/>
      <w:divBdr>
        <w:top w:val="none" w:sz="0" w:space="0" w:color="auto"/>
        <w:left w:val="none" w:sz="0" w:space="0" w:color="auto"/>
        <w:bottom w:val="none" w:sz="0" w:space="0" w:color="auto"/>
        <w:right w:val="none" w:sz="0" w:space="0" w:color="auto"/>
      </w:divBdr>
    </w:div>
    <w:div w:id="1922132800">
      <w:bodyDiv w:val="1"/>
      <w:marLeft w:val="0"/>
      <w:marRight w:val="0"/>
      <w:marTop w:val="0"/>
      <w:marBottom w:val="0"/>
      <w:divBdr>
        <w:top w:val="none" w:sz="0" w:space="0" w:color="auto"/>
        <w:left w:val="none" w:sz="0" w:space="0" w:color="auto"/>
        <w:bottom w:val="none" w:sz="0" w:space="0" w:color="auto"/>
        <w:right w:val="none" w:sz="0" w:space="0" w:color="auto"/>
      </w:divBdr>
    </w:div>
    <w:div w:id="1922905535">
      <w:bodyDiv w:val="1"/>
      <w:marLeft w:val="0"/>
      <w:marRight w:val="0"/>
      <w:marTop w:val="0"/>
      <w:marBottom w:val="0"/>
      <w:divBdr>
        <w:top w:val="none" w:sz="0" w:space="0" w:color="auto"/>
        <w:left w:val="none" w:sz="0" w:space="0" w:color="auto"/>
        <w:bottom w:val="none" w:sz="0" w:space="0" w:color="auto"/>
        <w:right w:val="none" w:sz="0" w:space="0" w:color="auto"/>
      </w:divBdr>
    </w:div>
    <w:div w:id="1925450114">
      <w:bodyDiv w:val="1"/>
      <w:marLeft w:val="0"/>
      <w:marRight w:val="0"/>
      <w:marTop w:val="0"/>
      <w:marBottom w:val="0"/>
      <w:divBdr>
        <w:top w:val="none" w:sz="0" w:space="0" w:color="auto"/>
        <w:left w:val="none" w:sz="0" w:space="0" w:color="auto"/>
        <w:bottom w:val="none" w:sz="0" w:space="0" w:color="auto"/>
        <w:right w:val="none" w:sz="0" w:space="0" w:color="auto"/>
      </w:divBdr>
    </w:div>
    <w:div w:id="1927500268">
      <w:bodyDiv w:val="1"/>
      <w:marLeft w:val="0"/>
      <w:marRight w:val="0"/>
      <w:marTop w:val="0"/>
      <w:marBottom w:val="0"/>
      <w:divBdr>
        <w:top w:val="none" w:sz="0" w:space="0" w:color="auto"/>
        <w:left w:val="none" w:sz="0" w:space="0" w:color="auto"/>
        <w:bottom w:val="none" w:sz="0" w:space="0" w:color="auto"/>
        <w:right w:val="none" w:sz="0" w:space="0" w:color="auto"/>
      </w:divBdr>
    </w:div>
    <w:div w:id="1928733791">
      <w:bodyDiv w:val="1"/>
      <w:marLeft w:val="0"/>
      <w:marRight w:val="0"/>
      <w:marTop w:val="0"/>
      <w:marBottom w:val="0"/>
      <w:divBdr>
        <w:top w:val="none" w:sz="0" w:space="0" w:color="auto"/>
        <w:left w:val="none" w:sz="0" w:space="0" w:color="auto"/>
        <w:bottom w:val="none" w:sz="0" w:space="0" w:color="auto"/>
        <w:right w:val="none" w:sz="0" w:space="0" w:color="auto"/>
      </w:divBdr>
    </w:div>
    <w:div w:id="1928995423">
      <w:bodyDiv w:val="1"/>
      <w:marLeft w:val="0"/>
      <w:marRight w:val="0"/>
      <w:marTop w:val="0"/>
      <w:marBottom w:val="0"/>
      <w:divBdr>
        <w:top w:val="none" w:sz="0" w:space="0" w:color="auto"/>
        <w:left w:val="none" w:sz="0" w:space="0" w:color="auto"/>
        <w:bottom w:val="none" w:sz="0" w:space="0" w:color="auto"/>
        <w:right w:val="none" w:sz="0" w:space="0" w:color="auto"/>
      </w:divBdr>
    </w:div>
    <w:div w:id="1929264094">
      <w:bodyDiv w:val="1"/>
      <w:marLeft w:val="0"/>
      <w:marRight w:val="0"/>
      <w:marTop w:val="0"/>
      <w:marBottom w:val="0"/>
      <w:divBdr>
        <w:top w:val="none" w:sz="0" w:space="0" w:color="auto"/>
        <w:left w:val="none" w:sz="0" w:space="0" w:color="auto"/>
        <w:bottom w:val="none" w:sz="0" w:space="0" w:color="auto"/>
        <w:right w:val="none" w:sz="0" w:space="0" w:color="auto"/>
      </w:divBdr>
    </w:div>
    <w:div w:id="1935554924">
      <w:bodyDiv w:val="1"/>
      <w:marLeft w:val="0"/>
      <w:marRight w:val="0"/>
      <w:marTop w:val="0"/>
      <w:marBottom w:val="0"/>
      <w:divBdr>
        <w:top w:val="none" w:sz="0" w:space="0" w:color="auto"/>
        <w:left w:val="none" w:sz="0" w:space="0" w:color="auto"/>
        <w:bottom w:val="none" w:sz="0" w:space="0" w:color="auto"/>
        <w:right w:val="none" w:sz="0" w:space="0" w:color="auto"/>
      </w:divBdr>
    </w:div>
    <w:div w:id="1939826943">
      <w:bodyDiv w:val="1"/>
      <w:marLeft w:val="0"/>
      <w:marRight w:val="0"/>
      <w:marTop w:val="0"/>
      <w:marBottom w:val="0"/>
      <w:divBdr>
        <w:top w:val="none" w:sz="0" w:space="0" w:color="auto"/>
        <w:left w:val="none" w:sz="0" w:space="0" w:color="auto"/>
        <w:bottom w:val="none" w:sz="0" w:space="0" w:color="auto"/>
        <w:right w:val="none" w:sz="0" w:space="0" w:color="auto"/>
      </w:divBdr>
    </w:div>
    <w:div w:id="1942100229">
      <w:bodyDiv w:val="1"/>
      <w:marLeft w:val="0"/>
      <w:marRight w:val="0"/>
      <w:marTop w:val="0"/>
      <w:marBottom w:val="0"/>
      <w:divBdr>
        <w:top w:val="none" w:sz="0" w:space="0" w:color="auto"/>
        <w:left w:val="none" w:sz="0" w:space="0" w:color="auto"/>
        <w:bottom w:val="none" w:sz="0" w:space="0" w:color="auto"/>
        <w:right w:val="none" w:sz="0" w:space="0" w:color="auto"/>
      </w:divBdr>
    </w:div>
    <w:div w:id="1946763557">
      <w:bodyDiv w:val="1"/>
      <w:marLeft w:val="0"/>
      <w:marRight w:val="0"/>
      <w:marTop w:val="0"/>
      <w:marBottom w:val="0"/>
      <w:divBdr>
        <w:top w:val="none" w:sz="0" w:space="0" w:color="auto"/>
        <w:left w:val="none" w:sz="0" w:space="0" w:color="auto"/>
        <w:bottom w:val="none" w:sz="0" w:space="0" w:color="auto"/>
        <w:right w:val="none" w:sz="0" w:space="0" w:color="auto"/>
      </w:divBdr>
    </w:div>
    <w:div w:id="1951207619">
      <w:bodyDiv w:val="1"/>
      <w:marLeft w:val="0"/>
      <w:marRight w:val="0"/>
      <w:marTop w:val="0"/>
      <w:marBottom w:val="0"/>
      <w:divBdr>
        <w:top w:val="none" w:sz="0" w:space="0" w:color="auto"/>
        <w:left w:val="none" w:sz="0" w:space="0" w:color="auto"/>
        <w:bottom w:val="none" w:sz="0" w:space="0" w:color="auto"/>
        <w:right w:val="none" w:sz="0" w:space="0" w:color="auto"/>
      </w:divBdr>
    </w:div>
    <w:div w:id="1952777796">
      <w:bodyDiv w:val="1"/>
      <w:marLeft w:val="0"/>
      <w:marRight w:val="0"/>
      <w:marTop w:val="0"/>
      <w:marBottom w:val="0"/>
      <w:divBdr>
        <w:top w:val="none" w:sz="0" w:space="0" w:color="auto"/>
        <w:left w:val="none" w:sz="0" w:space="0" w:color="auto"/>
        <w:bottom w:val="none" w:sz="0" w:space="0" w:color="auto"/>
        <w:right w:val="none" w:sz="0" w:space="0" w:color="auto"/>
      </w:divBdr>
    </w:div>
    <w:div w:id="1956324531">
      <w:bodyDiv w:val="1"/>
      <w:marLeft w:val="0"/>
      <w:marRight w:val="0"/>
      <w:marTop w:val="0"/>
      <w:marBottom w:val="0"/>
      <w:divBdr>
        <w:top w:val="none" w:sz="0" w:space="0" w:color="auto"/>
        <w:left w:val="none" w:sz="0" w:space="0" w:color="auto"/>
        <w:bottom w:val="none" w:sz="0" w:space="0" w:color="auto"/>
        <w:right w:val="none" w:sz="0" w:space="0" w:color="auto"/>
      </w:divBdr>
    </w:div>
    <w:div w:id="1958563083">
      <w:bodyDiv w:val="1"/>
      <w:marLeft w:val="0"/>
      <w:marRight w:val="0"/>
      <w:marTop w:val="0"/>
      <w:marBottom w:val="0"/>
      <w:divBdr>
        <w:top w:val="none" w:sz="0" w:space="0" w:color="auto"/>
        <w:left w:val="none" w:sz="0" w:space="0" w:color="auto"/>
        <w:bottom w:val="none" w:sz="0" w:space="0" w:color="auto"/>
        <w:right w:val="none" w:sz="0" w:space="0" w:color="auto"/>
      </w:divBdr>
    </w:div>
    <w:div w:id="1965190083">
      <w:bodyDiv w:val="1"/>
      <w:marLeft w:val="0"/>
      <w:marRight w:val="0"/>
      <w:marTop w:val="0"/>
      <w:marBottom w:val="0"/>
      <w:divBdr>
        <w:top w:val="none" w:sz="0" w:space="0" w:color="auto"/>
        <w:left w:val="none" w:sz="0" w:space="0" w:color="auto"/>
        <w:bottom w:val="none" w:sz="0" w:space="0" w:color="auto"/>
        <w:right w:val="none" w:sz="0" w:space="0" w:color="auto"/>
      </w:divBdr>
    </w:div>
    <w:div w:id="1965773243">
      <w:bodyDiv w:val="1"/>
      <w:marLeft w:val="0"/>
      <w:marRight w:val="0"/>
      <w:marTop w:val="0"/>
      <w:marBottom w:val="0"/>
      <w:divBdr>
        <w:top w:val="none" w:sz="0" w:space="0" w:color="auto"/>
        <w:left w:val="none" w:sz="0" w:space="0" w:color="auto"/>
        <w:bottom w:val="none" w:sz="0" w:space="0" w:color="auto"/>
        <w:right w:val="none" w:sz="0" w:space="0" w:color="auto"/>
      </w:divBdr>
    </w:div>
    <w:div w:id="1971127561">
      <w:bodyDiv w:val="1"/>
      <w:marLeft w:val="0"/>
      <w:marRight w:val="0"/>
      <w:marTop w:val="0"/>
      <w:marBottom w:val="0"/>
      <w:divBdr>
        <w:top w:val="none" w:sz="0" w:space="0" w:color="auto"/>
        <w:left w:val="none" w:sz="0" w:space="0" w:color="auto"/>
        <w:bottom w:val="none" w:sz="0" w:space="0" w:color="auto"/>
        <w:right w:val="none" w:sz="0" w:space="0" w:color="auto"/>
      </w:divBdr>
    </w:div>
    <w:div w:id="1971664886">
      <w:bodyDiv w:val="1"/>
      <w:marLeft w:val="0"/>
      <w:marRight w:val="0"/>
      <w:marTop w:val="0"/>
      <w:marBottom w:val="0"/>
      <w:divBdr>
        <w:top w:val="none" w:sz="0" w:space="0" w:color="auto"/>
        <w:left w:val="none" w:sz="0" w:space="0" w:color="auto"/>
        <w:bottom w:val="none" w:sz="0" w:space="0" w:color="auto"/>
        <w:right w:val="none" w:sz="0" w:space="0" w:color="auto"/>
      </w:divBdr>
    </w:div>
    <w:div w:id="1978997471">
      <w:bodyDiv w:val="1"/>
      <w:marLeft w:val="0"/>
      <w:marRight w:val="0"/>
      <w:marTop w:val="0"/>
      <w:marBottom w:val="0"/>
      <w:divBdr>
        <w:top w:val="none" w:sz="0" w:space="0" w:color="auto"/>
        <w:left w:val="none" w:sz="0" w:space="0" w:color="auto"/>
        <w:bottom w:val="none" w:sz="0" w:space="0" w:color="auto"/>
        <w:right w:val="none" w:sz="0" w:space="0" w:color="auto"/>
      </w:divBdr>
    </w:div>
    <w:div w:id="1979607744">
      <w:bodyDiv w:val="1"/>
      <w:marLeft w:val="0"/>
      <w:marRight w:val="0"/>
      <w:marTop w:val="0"/>
      <w:marBottom w:val="0"/>
      <w:divBdr>
        <w:top w:val="none" w:sz="0" w:space="0" w:color="auto"/>
        <w:left w:val="none" w:sz="0" w:space="0" w:color="auto"/>
        <w:bottom w:val="none" w:sz="0" w:space="0" w:color="auto"/>
        <w:right w:val="none" w:sz="0" w:space="0" w:color="auto"/>
      </w:divBdr>
      <w:divsChild>
        <w:div w:id="169372900">
          <w:marLeft w:val="1714"/>
          <w:marRight w:val="0"/>
          <w:marTop w:val="0"/>
          <w:marBottom w:val="0"/>
          <w:divBdr>
            <w:top w:val="none" w:sz="0" w:space="0" w:color="auto"/>
            <w:left w:val="none" w:sz="0" w:space="0" w:color="auto"/>
            <w:bottom w:val="none" w:sz="0" w:space="0" w:color="auto"/>
            <w:right w:val="none" w:sz="0" w:space="0" w:color="auto"/>
          </w:divBdr>
        </w:div>
        <w:div w:id="248269755">
          <w:marLeft w:val="994"/>
          <w:marRight w:val="0"/>
          <w:marTop w:val="0"/>
          <w:marBottom w:val="0"/>
          <w:divBdr>
            <w:top w:val="none" w:sz="0" w:space="0" w:color="auto"/>
            <w:left w:val="none" w:sz="0" w:space="0" w:color="auto"/>
            <w:bottom w:val="none" w:sz="0" w:space="0" w:color="auto"/>
            <w:right w:val="none" w:sz="0" w:space="0" w:color="auto"/>
          </w:divBdr>
        </w:div>
        <w:div w:id="717513933">
          <w:marLeft w:val="1714"/>
          <w:marRight w:val="0"/>
          <w:marTop w:val="0"/>
          <w:marBottom w:val="0"/>
          <w:divBdr>
            <w:top w:val="none" w:sz="0" w:space="0" w:color="auto"/>
            <w:left w:val="none" w:sz="0" w:space="0" w:color="auto"/>
            <w:bottom w:val="none" w:sz="0" w:space="0" w:color="auto"/>
            <w:right w:val="none" w:sz="0" w:space="0" w:color="auto"/>
          </w:divBdr>
        </w:div>
        <w:div w:id="809790551">
          <w:marLeft w:val="994"/>
          <w:marRight w:val="0"/>
          <w:marTop w:val="0"/>
          <w:marBottom w:val="0"/>
          <w:divBdr>
            <w:top w:val="none" w:sz="0" w:space="0" w:color="auto"/>
            <w:left w:val="none" w:sz="0" w:space="0" w:color="auto"/>
            <w:bottom w:val="none" w:sz="0" w:space="0" w:color="auto"/>
            <w:right w:val="none" w:sz="0" w:space="0" w:color="auto"/>
          </w:divBdr>
        </w:div>
        <w:div w:id="1105617646">
          <w:marLeft w:val="1714"/>
          <w:marRight w:val="0"/>
          <w:marTop w:val="0"/>
          <w:marBottom w:val="0"/>
          <w:divBdr>
            <w:top w:val="none" w:sz="0" w:space="0" w:color="auto"/>
            <w:left w:val="none" w:sz="0" w:space="0" w:color="auto"/>
            <w:bottom w:val="none" w:sz="0" w:space="0" w:color="auto"/>
            <w:right w:val="none" w:sz="0" w:space="0" w:color="auto"/>
          </w:divBdr>
        </w:div>
        <w:div w:id="1149439419">
          <w:marLeft w:val="1714"/>
          <w:marRight w:val="0"/>
          <w:marTop w:val="0"/>
          <w:marBottom w:val="0"/>
          <w:divBdr>
            <w:top w:val="none" w:sz="0" w:space="0" w:color="auto"/>
            <w:left w:val="none" w:sz="0" w:space="0" w:color="auto"/>
            <w:bottom w:val="none" w:sz="0" w:space="0" w:color="auto"/>
            <w:right w:val="none" w:sz="0" w:space="0" w:color="auto"/>
          </w:divBdr>
        </w:div>
        <w:div w:id="1218517580">
          <w:marLeft w:val="1714"/>
          <w:marRight w:val="0"/>
          <w:marTop w:val="0"/>
          <w:marBottom w:val="0"/>
          <w:divBdr>
            <w:top w:val="none" w:sz="0" w:space="0" w:color="auto"/>
            <w:left w:val="none" w:sz="0" w:space="0" w:color="auto"/>
            <w:bottom w:val="none" w:sz="0" w:space="0" w:color="auto"/>
            <w:right w:val="none" w:sz="0" w:space="0" w:color="auto"/>
          </w:divBdr>
        </w:div>
        <w:div w:id="1288976342">
          <w:marLeft w:val="1714"/>
          <w:marRight w:val="0"/>
          <w:marTop w:val="0"/>
          <w:marBottom w:val="0"/>
          <w:divBdr>
            <w:top w:val="none" w:sz="0" w:space="0" w:color="auto"/>
            <w:left w:val="none" w:sz="0" w:space="0" w:color="auto"/>
            <w:bottom w:val="none" w:sz="0" w:space="0" w:color="auto"/>
            <w:right w:val="none" w:sz="0" w:space="0" w:color="auto"/>
          </w:divBdr>
        </w:div>
        <w:div w:id="1460762565">
          <w:marLeft w:val="1714"/>
          <w:marRight w:val="0"/>
          <w:marTop w:val="0"/>
          <w:marBottom w:val="0"/>
          <w:divBdr>
            <w:top w:val="none" w:sz="0" w:space="0" w:color="auto"/>
            <w:left w:val="none" w:sz="0" w:space="0" w:color="auto"/>
            <w:bottom w:val="none" w:sz="0" w:space="0" w:color="auto"/>
            <w:right w:val="none" w:sz="0" w:space="0" w:color="auto"/>
          </w:divBdr>
        </w:div>
        <w:div w:id="1536579584">
          <w:marLeft w:val="1714"/>
          <w:marRight w:val="0"/>
          <w:marTop w:val="0"/>
          <w:marBottom w:val="0"/>
          <w:divBdr>
            <w:top w:val="none" w:sz="0" w:space="0" w:color="auto"/>
            <w:left w:val="none" w:sz="0" w:space="0" w:color="auto"/>
            <w:bottom w:val="none" w:sz="0" w:space="0" w:color="auto"/>
            <w:right w:val="none" w:sz="0" w:space="0" w:color="auto"/>
          </w:divBdr>
        </w:div>
        <w:div w:id="1563176939">
          <w:marLeft w:val="1714"/>
          <w:marRight w:val="0"/>
          <w:marTop w:val="0"/>
          <w:marBottom w:val="0"/>
          <w:divBdr>
            <w:top w:val="none" w:sz="0" w:space="0" w:color="auto"/>
            <w:left w:val="none" w:sz="0" w:space="0" w:color="auto"/>
            <w:bottom w:val="none" w:sz="0" w:space="0" w:color="auto"/>
            <w:right w:val="none" w:sz="0" w:space="0" w:color="auto"/>
          </w:divBdr>
        </w:div>
        <w:div w:id="1610547321">
          <w:marLeft w:val="1714"/>
          <w:marRight w:val="0"/>
          <w:marTop w:val="0"/>
          <w:marBottom w:val="0"/>
          <w:divBdr>
            <w:top w:val="none" w:sz="0" w:space="0" w:color="auto"/>
            <w:left w:val="none" w:sz="0" w:space="0" w:color="auto"/>
            <w:bottom w:val="none" w:sz="0" w:space="0" w:color="auto"/>
            <w:right w:val="none" w:sz="0" w:space="0" w:color="auto"/>
          </w:divBdr>
        </w:div>
        <w:div w:id="1624730150">
          <w:marLeft w:val="994"/>
          <w:marRight w:val="0"/>
          <w:marTop w:val="0"/>
          <w:marBottom w:val="0"/>
          <w:divBdr>
            <w:top w:val="none" w:sz="0" w:space="0" w:color="auto"/>
            <w:left w:val="none" w:sz="0" w:space="0" w:color="auto"/>
            <w:bottom w:val="none" w:sz="0" w:space="0" w:color="auto"/>
            <w:right w:val="none" w:sz="0" w:space="0" w:color="auto"/>
          </w:divBdr>
        </w:div>
        <w:div w:id="1937132489">
          <w:marLeft w:val="994"/>
          <w:marRight w:val="0"/>
          <w:marTop w:val="0"/>
          <w:marBottom w:val="0"/>
          <w:divBdr>
            <w:top w:val="none" w:sz="0" w:space="0" w:color="auto"/>
            <w:left w:val="none" w:sz="0" w:space="0" w:color="auto"/>
            <w:bottom w:val="none" w:sz="0" w:space="0" w:color="auto"/>
            <w:right w:val="none" w:sz="0" w:space="0" w:color="auto"/>
          </w:divBdr>
        </w:div>
        <w:div w:id="2024700926">
          <w:marLeft w:val="1714"/>
          <w:marRight w:val="0"/>
          <w:marTop w:val="0"/>
          <w:marBottom w:val="0"/>
          <w:divBdr>
            <w:top w:val="none" w:sz="0" w:space="0" w:color="auto"/>
            <w:left w:val="none" w:sz="0" w:space="0" w:color="auto"/>
            <w:bottom w:val="none" w:sz="0" w:space="0" w:color="auto"/>
            <w:right w:val="none" w:sz="0" w:space="0" w:color="auto"/>
          </w:divBdr>
        </w:div>
        <w:div w:id="2135319619">
          <w:marLeft w:val="1714"/>
          <w:marRight w:val="0"/>
          <w:marTop w:val="0"/>
          <w:marBottom w:val="0"/>
          <w:divBdr>
            <w:top w:val="none" w:sz="0" w:space="0" w:color="auto"/>
            <w:left w:val="none" w:sz="0" w:space="0" w:color="auto"/>
            <w:bottom w:val="none" w:sz="0" w:space="0" w:color="auto"/>
            <w:right w:val="none" w:sz="0" w:space="0" w:color="auto"/>
          </w:divBdr>
        </w:div>
      </w:divsChild>
    </w:div>
    <w:div w:id="1982031436">
      <w:bodyDiv w:val="1"/>
      <w:marLeft w:val="0"/>
      <w:marRight w:val="0"/>
      <w:marTop w:val="0"/>
      <w:marBottom w:val="0"/>
      <w:divBdr>
        <w:top w:val="none" w:sz="0" w:space="0" w:color="auto"/>
        <w:left w:val="none" w:sz="0" w:space="0" w:color="auto"/>
        <w:bottom w:val="none" w:sz="0" w:space="0" w:color="auto"/>
        <w:right w:val="none" w:sz="0" w:space="0" w:color="auto"/>
      </w:divBdr>
    </w:div>
    <w:div w:id="1992367795">
      <w:bodyDiv w:val="1"/>
      <w:marLeft w:val="0"/>
      <w:marRight w:val="0"/>
      <w:marTop w:val="0"/>
      <w:marBottom w:val="0"/>
      <w:divBdr>
        <w:top w:val="none" w:sz="0" w:space="0" w:color="auto"/>
        <w:left w:val="none" w:sz="0" w:space="0" w:color="auto"/>
        <w:bottom w:val="none" w:sz="0" w:space="0" w:color="auto"/>
        <w:right w:val="none" w:sz="0" w:space="0" w:color="auto"/>
      </w:divBdr>
    </w:div>
    <w:div w:id="1996951481">
      <w:bodyDiv w:val="1"/>
      <w:marLeft w:val="0"/>
      <w:marRight w:val="0"/>
      <w:marTop w:val="0"/>
      <w:marBottom w:val="0"/>
      <w:divBdr>
        <w:top w:val="none" w:sz="0" w:space="0" w:color="auto"/>
        <w:left w:val="none" w:sz="0" w:space="0" w:color="auto"/>
        <w:bottom w:val="none" w:sz="0" w:space="0" w:color="auto"/>
        <w:right w:val="none" w:sz="0" w:space="0" w:color="auto"/>
      </w:divBdr>
    </w:div>
    <w:div w:id="1997025969">
      <w:bodyDiv w:val="1"/>
      <w:marLeft w:val="0"/>
      <w:marRight w:val="0"/>
      <w:marTop w:val="0"/>
      <w:marBottom w:val="0"/>
      <w:divBdr>
        <w:top w:val="none" w:sz="0" w:space="0" w:color="auto"/>
        <w:left w:val="none" w:sz="0" w:space="0" w:color="auto"/>
        <w:bottom w:val="none" w:sz="0" w:space="0" w:color="auto"/>
        <w:right w:val="none" w:sz="0" w:space="0" w:color="auto"/>
      </w:divBdr>
    </w:div>
    <w:div w:id="1998343056">
      <w:bodyDiv w:val="1"/>
      <w:marLeft w:val="0"/>
      <w:marRight w:val="0"/>
      <w:marTop w:val="0"/>
      <w:marBottom w:val="0"/>
      <w:divBdr>
        <w:top w:val="none" w:sz="0" w:space="0" w:color="auto"/>
        <w:left w:val="none" w:sz="0" w:space="0" w:color="auto"/>
        <w:bottom w:val="none" w:sz="0" w:space="0" w:color="auto"/>
        <w:right w:val="none" w:sz="0" w:space="0" w:color="auto"/>
      </w:divBdr>
    </w:div>
    <w:div w:id="2002124955">
      <w:bodyDiv w:val="1"/>
      <w:marLeft w:val="0"/>
      <w:marRight w:val="0"/>
      <w:marTop w:val="0"/>
      <w:marBottom w:val="0"/>
      <w:divBdr>
        <w:top w:val="none" w:sz="0" w:space="0" w:color="auto"/>
        <w:left w:val="none" w:sz="0" w:space="0" w:color="auto"/>
        <w:bottom w:val="none" w:sz="0" w:space="0" w:color="auto"/>
        <w:right w:val="none" w:sz="0" w:space="0" w:color="auto"/>
      </w:divBdr>
    </w:div>
    <w:div w:id="2005011559">
      <w:bodyDiv w:val="1"/>
      <w:marLeft w:val="0"/>
      <w:marRight w:val="0"/>
      <w:marTop w:val="0"/>
      <w:marBottom w:val="0"/>
      <w:divBdr>
        <w:top w:val="none" w:sz="0" w:space="0" w:color="auto"/>
        <w:left w:val="none" w:sz="0" w:space="0" w:color="auto"/>
        <w:bottom w:val="none" w:sz="0" w:space="0" w:color="auto"/>
        <w:right w:val="none" w:sz="0" w:space="0" w:color="auto"/>
      </w:divBdr>
    </w:div>
    <w:div w:id="2010861496">
      <w:bodyDiv w:val="1"/>
      <w:marLeft w:val="0"/>
      <w:marRight w:val="0"/>
      <w:marTop w:val="0"/>
      <w:marBottom w:val="0"/>
      <w:divBdr>
        <w:top w:val="none" w:sz="0" w:space="0" w:color="auto"/>
        <w:left w:val="none" w:sz="0" w:space="0" w:color="auto"/>
        <w:bottom w:val="none" w:sz="0" w:space="0" w:color="auto"/>
        <w:right w:val="none" w:sz="0" w:space="0" w:color="auto"/>
      </w:divBdr>
    </w:div>
    <w:div w:id="2013679086">
      <w:bodyDiv w:val="1"/>
      <w:marLeft w:val="0"/>
      <w:marRight w:val="0"/>
      <w:marTop w:val="0"/>
      <w:marBottom w:val="0"/>
      <w:divBdr>
        <w:top w:val="none" w:sz="0" w:space="0" w:color="auto"/>
        <w:left w:val="none" w:sz="0" w:space="0" w:color="auto"/>
        <w:bottom w:val="none" w:sz="0" w:space="0" w:color="auto"/>
        <w:right w:val="none" w:sz="0" w:space="0" w:color="auto"/>
      </w:divBdr>
    </w:div>
    <w:div w:id="2016763665">
      <w:bodyDiv w:val="1"/>
      <w:marLeft w:val="0"/>
      <w:marRight w:val="0"/>
      <w:marTop w:val="0"/>
      <w:marBottom w:val="0"/>
      <w:divBdr>
        <w:top w:val="none" w:sz="0" w:space="0" w:color="auto"/>
        <w:left w:val="none" w:sz="0" w:space="0" w:color="auto"/>
        <w:bottom w:val="none" w:sz="0" w:space="0" w:color="auto"/>
        <w:right w:val="none" w:sz="0" w:space="0" w:color="auto"/>
      </w:divBdr>
      <w:divsChild>
        <w:div w:id="167982608">
          <w:marLeft w:val="446"/>
          <w:marRight w:val="0"/>
          <w:marTop w:val="0"/>
          <w:marBottom w:val="0"/>
          <w:divBdr>
            <w:top w:val="none" w:sz="0" w:space="0" w:color="auto"/>
            <w:left w:val="none" w:sz="0" w:space="0" w:color="auto"/>
            <w:bottom w:val="none" w:sz="0" w:space="0" w:color="auto"/>
            <w:right w:val="none" w:sz="0" w:space="0" w:color="auto"/>
          </w:divBdr>
        </w:div>
        <w:div w:id="170878560">
          <w:marLeft w:val="446"/>
          <w:marRight w:val="0"/>
          <w:marTop w:val="0"/>
          <w:marBottom w:val="0"/>
          <w:divBdr>
            <w:top w:val="none" w:sz="0" w:space="0" w:color="auto"/>
            <w:left w:val="none" w:sz="0" w:space="0" w:color="auto"/>
            <w:bottom w:val="none" w:sz="0" w:space="0" w:color="auto"/>
            <w:right w:val="none" w:sz="0" w:space="0" w:color="auto"/>
          </w:divBdr>
        </w:div>
        <w:div w:id="172571999">
          <w:marLeft w:val="446"/>
          <w:marRight w:val="0"/>
          <w:marTop w:val="0"/>
          <w:marBottom w:val="0"/>
          <w:divBdr>
            <w:top w:val="none" w:sz="0" w:space="0" w:color="auto"/>
            <w:left w:val="none" w:sz="0" w:space="0" w:color="auto"/>
            <w:bottom w:val="none" w:sz="0" w:space="0" w:color="auto"/>
            <w:right w:val="none" w:sz="0" w:space="0" w:color="auto"/>
          </w:divBdr>
        </w:div>
        <w:div w:id="185142552">
          <w:marLeft w:val="446"/>
          <w:marRight w:val="0"/>
          <w:marTop w:val="0"/>
          <w:marBottom w:val="0"/>
          <w:divBdr>
            <w:top w:val="none" w:sz="0" w:space="0" w:color="auto"/>
            <w:left w:val="none" w:sz="0" w:space="0" w:color="auto"/>
            <w:bottom w:val="none" w:sz="0" w:space="0" w:color="auto"/>
            <w:right w:val="none" w:sz="0" w:space="0" w:color="auto"/>
          </w:divBdr>
        </w:div>
        <w:div w:id="430200607">
          <w:marLeft w:val="446"/>
          <w:marRight w:val="0"/>
          <w:marTop w:val="0"/>
          <w:marBottom w:val="0"/>
          <w:divBdr>
            <w:top w:val="none" w:sz="0" w:space="0" w:color="auto"/>
            <w:left w:val="none" w:sz="0" w:space="0" w:color="auto"/>
            <w:bottom w:val="none" w:sz="0" w:space="0" w:color="auto"/>
            <w:right w:val="none" w:sz="0" w:space="0" w:color="auto"/>
          </w:divBdr>
        </w:div>
        <w:div w:id="483815956">
          <w:marLeft w:val="446"/>
          <w:marRight w:val="0"/>
          <w:marTop w:val="0"/>
          <w:marBottom w:val="0"/>
          <w:divBdr>
            <w:top w:val="none" w:sz="0" w:space="0" w:color="auto"/>
            <w:left w:val="none" w:sz="0" w:space="0" w:color="auto"/>
            <w:bottom w:val="none" w:sz="0" w:space="0" w:color="auto"/>
            <w:right w:val="none" w:sz="0" w:space="0" w:color="auto"/>
          </w:divBdr>
        </w:div>
        <w:div w:id="509292376">
          <w:marLeft w:val="446"/>
          <w:marRight w:val="0"/>
          <w:marTop w:val="0"/>
          <w:marBottom w:val="0"/>
          <w:divBdr>
            <w:top w:val="none" w:sz="0" w:space="0" w:color="auto"/>
            <w:left w:val="none" w:sz="0" w:space="0" w:color="auto"/>
            <w:bottom w:val="none" w:sz="0" w:space="0" w:color="auto"/>
            <w:right w:val="none" w:sz="0" w:space="0" w:color="auto"/>
          </w:divBdr>
        </w:div>
        <w:div w:id="659580599">
          <w:marLeft w:val="446"/>
          <w:marRight w:val="0"/>
          <w:marTop w:val="0"/>
          <w:marBottom w:val="0"/>
          <w:divBdr>
            <w:top w:val="none" w:sz="0" w:space="0" w:color="auto"/>
            <w:left w:val="none" w:sz="0" w:space="0" w:color="auto"/>
            <w:bottom w:val="none" w:sz="0" w:space="0" w:color="auto"/>
            <w:right w:val="none" w:sz="0" w:space="0" w:color="auto"/>
          </w:divBdr>
        </w:div>
        <w:div w:id="661470687">
          <w:marLeft w:val="446"/>
          <w:marRight w:val="0"/>
          <w:marTop w:val="0"/>
          <w:marBottom w:val="0"/>
          <w:divBdr>
            <w:top w:val="none" w:sz="0" w:space="0" w:color="auto"/>
            <w:left w:val="none" w:sz="0" w:space="0" w:color="auto"/>
            <w:bottom w:val="none" w:sz="0" w:space="0" w:color="auto"/>
            <w:right w:val="none" w:sz="0" w:space="0" w:color="auto"/>
          </w:divBdr>
        </w:div>
        <w:div w:id="813572192">
          <w:marLeft w:val="446"/>
          <w:marRight w:val="0"/>
          <w:marTop w:val="0"/>
          <w:marBottom w:val="0"/>
          <w:divBdr>
            <w:top w:val="none" w:sz="0" w:space="0" w:color="auto"/>
            <w:left w:val="none" w:sz="0" w:space="0" w:color="auto"/>
            <w:bottom w:val="none" w:sz="0" w:space="0" w:color="auto"/>
            <w:right w:val="none" w:sz="0" w:space="0" w:color="auto"/>
          </w:divBdr>
        </w:div>
        <w:div w:id="813647158">
          <w:marLeft w:val="446"/>
          <w:marRight w:val="0"/>
          <w:marTop w:val="0"/>
          <w:marBottom w:val="0"/>
          <w:divBdr>
            <w:top w:val="none" w:sz="0" w:space="0" w:color="auto"/>
            <w:left w:val="none" w:sz="0" w:space="0" w:color="auto"/>
            <w:bottom w:val="none" w:sz="0" w:space="0" w:color="auto"/>
            <w:right w:val="none" w:sz="0" w:space="0" w:color="auto"/>
          </w:divBdr>
        </w:div>
        <w:div w:id="825903946">
          <w:marLeft w:val="446"/>
          <w:marRight w:val="0"/>
          <w:marTop w:val="0"/>
          <w:marBottom w:val="0"/>
          <w:divBdr>
            <w:top w:val="none" w:sz="0" w:space="0" w:color="auto"/>
            <w:left w:val="none" w:sz="0" w:space="0" w:color="auto"/>
            <w:bottom w:val="none" w:sz="0" w:space="0" w:color="auto"/>
            <w:right w:val="none" w:sz="0" w:space="0" w:color="auto"/>
          </w:divBdr>
        </w:div>
        <w:div w:id="908997918">
          <w:marLeft w:val="446"/>
          <w:marRight w:val="0"/>
          <w:marTop w:val="0"/>
          <w:marBottom w:val="0"/>
          <w:divBdr>
            <w:top w:val="none" w:sz="0" w:space="0" w:color="auto"/>
            <w:left w:val="none" w:sz="0" w:space="0" w:color="auto"/>
            <w:bottom w:val="none" w:sz="0" w:space="0" w:color="auto"/>
            <w:right w:val="none" w:sz="0" w:space="0" w:color="auto"/>
          </w:divBdr>
        </w:div>
        <w:div w:id="1124348462">
          <w:marLeft w:val="446"/>
          <w:marRight w:val="0"/>
          <w:marTop w:val="0"/>
          <w:marBottom w:val="0"/>
          <w:divBdr>
            <w:top w:val="none" w:sz="0" w:space="0" w:color="auto"/>
            <w:left w:val="none" w:sz="0" w:space="0" w:color="auto"/>
            <w:bottom w:val="none" w:sz="0" w:space="0" w:color="auto"/>
            <w:right w:val="none" w:sz="0" w:space="0" w:color="auto"/>
          </w:divBdr>
        </w:div>
        <w:div w:id="1128553245">
          <w:marLeft w:val="446"/>
          <w:marRight w:val="0"/>
          <w:marTop w:val="0"/>
          <w:marBottom w:val="0"/>
          <w:divBdr>
            <w:top w:val="none" w:sz="0" w:space="0" w:color="auto"/>
            <w:left w:val="none" w:sz="0" w:space="0" w:color="auto"/>
            <w:bottom w:val="none" w:sz="0" w:space="0" w:color="auto"/>
            <w:right w:val="none" w:sz="0" w:space="0" w:color="auto"/>
          </w:divBdr>
        </w:div>
        <w:div w:id="1160582068">
          <w:marLeft w:val="446"/>
          <w:marRight w:val="0"/>
          <w:marTop w:val="0"/>
          <w:marBottom w:val="0"/>
          <w:divBdr>
            <w:top w:val="none" w:sz="0" w:space="0" w:color="auto"/>
            <w:left w:val="none" w:sz="0" w:space="0" w:color="auto"/>
            <w:bottom w:val="none" w:sz="0" w:space="0" w:color="auto"/>
            <w:right w:val="none" w:sz="0" w:space="0" w:color="auto"/>
          </w:divBdr>
        </w:div>
        <w:div w:id="1494253230">
          <w:marLeft w:val="446"/>
          <w:marRight w:val="0"/>
          <w:marTop w:val="0"/>
          <w:marBottom w:val="0"/>
          <w:divBdr>
            <w:top w:val="none" w:sz="0" w:space="0" w:color="auto"/>
            <w:left w:val="none" w:sz="0" w:space="0" w:color="auto"/>
            <w:bottom w:val="none" w:sz="0" w:space="0" w:color="auto"/>
            <w:right w:val="none" w:sz="0" w:space="0" w:color="auto"/>
          </w:divBdr>
        </w:div>
        <w:div w:id="1647011585">
          <w:marLeft w:val="446"/>
          <w:marRight w:val="0"/>
          <w:marTop w:val="0"/>
          <w:marBottom w:val="0"/>
          <w:divBdr>
            <w:top w:val="none" w:sz="0" w:space="0" w:color="auto"/>
            <w:left w:val="none" w:sz="0" w:space="0" w:color="auto"/>
            <w:bottom w:val="none" w:sz="0" w:space="0" w:color="auto"/>
            <w:right w:val="none" w:sz="0" w:space="0" w:color="auto"/>
          </w:divBdr>
        </w:div>
        <w:div w:id="1753814907">
          <w:marLeft w:val="446"/>
          <w:marRight w:val="0"/>
          <w:marTop w:val="0"/>
          <w:marBottom w:val="0"/>
          <w:divBdr>
            <w:top w:val="none" w:sz="0" w:space="0" w:color="auto"/>
            <w:left w:val="none" w:sz="0" w:space="0" w:color="auto"/>
            <w:bottom w:val="none" w:sz="0" w:space="0" w:color="auto"/>
            <w:right w:val="none" w:sz="0" w:space="0" w:color="auto"/>
          </w:divBdr>
        </w:div>
        <w:div w:id="1976527348">
          <w:marLeft w:val="446"/>
          <w:marRight w:val="0"/>
          <w:marTop w:val="0"/>
          <w:marBottom w:val="0"/>
          <w:divBdr>
            <w:top w:val="none" w:sz="0" w:space="0" w:color="auto"/>
            <w:left w:val="none" w:sz="0" w:space="0" w:color="auto"/>
            <w:bottom w:val="none" w:sz="0" w:space="0" w:color="auto"/>
            <w:right w:val="none" w:sz="0" w:space="0" w:color="auto"/>
          </w:divBdr>
        </w:div>
      </w:divsChild>
    </w:div>
    <w:div w:id="2017809353">
      <w:bodyDiv w:val="1"/>
      <w:marLeft w:val="0"/>
      <w:marRight w:val="0"/>
      <w:marTop w:val="0"/>
      <w:marBottom w:val="0"/>
      <w:divBdr>
        <w:top w:val="none" w:sz="0" w:space="0" w:color="auto"/>
        <w:left w:val="none" w:sz="0" w:space="0" w:color="auto"/>
        <w:bottom w:val="none" w:sz="0" w:space="0" w:color="auto"/>
        <w:right w:val="none" w:sz="0" w:space="0" w:color="auto"/>
      </w:divBdr>
    </w:div>
    <w:div w:id="2020815884">
      <w:bodyDiv w:val="1"/>
      <w:marLeft w:val="0"/>
      <w:marRight w:val="0"/>
      <w:marTop w:val="0"/>
      <w:marBottom w:val="0"/>
      <w:divBdr>
        <w:top w:val="none" w:sz="0" w:space="0" w:color="auto"/>
        <w:left w:val="none" w:sz="0" w:space="0" w:color="auto"/>
        <w:bottom w:val="none" w:sz="0" w:space="0" w:color="auto"/>
        <w:right w:val="none" w:sz="0" w:space="0" w:color="auto"/>
      </w:divBdr>
    </w:div>
    <w:div w:id="2024354675">
      <w:bodyDiv w:val="1"/>
      <w:marLeft w:val="0"/>
      <w:marRight w:val="0"/>
      <w:marTop w:val="0"/>
      <w:marBottom w:val="0"/>
      <w:divBdr>
        <w:top w:val="none" w:sz="0" w:space="0" w:color="auto"/>
        <w:left w:val="none" w:sz="0" w:space="0" w:color="auto"/>
        <w:bottom w:val="none" w:sz="0" w:space="0" w:color="auto"/>
        <w:right w:val="none" w:sz="0" w:space="0" w:color="auto"/>
      </w:divBdr>
    </w:div>
    <w:div w:id="2031836153">
      <w:bodyDiv w:val="1"/>
      <w:marLeft w:val="0"/>
      <w:marRight w:val="0"/>
      <w:marTop w:val="0"/>
      <w:marBottom w:val="0"/>
      <w:divBdr>
        <w:top w:val="none" w:sz="0" w:space="0" w:color="auto"/>
        <w:left w:val="none" w:sz="0" w:space="0" w:color="auto"/>
        <w:bottom w:val="none" w:sz="0" w:space="0" w:color="auto"/>
        <w:right w:val="none" w:sz="0" w:space="0" w:color="auto"/>
      </w:divBdr>
    </w:div>
    <w:div w:id="2032299288">
      <w:bodyDiv w:val="1"/>
      <w:marLeft w:val="0"/>
      <w:marRight w:val="0"/>
      <w:marTop w:val="0"/>
      <w:marBottom w:val="0"/>
      <w:divBdr>
        <w:top w:val="none" w:sz="0" w:space="0" w:color="auto"/>
        <w:left w:val="none" w:sz="0" w:space="0" w:color="auto"/>
        <w:bottom w:val="none" w:sz="0" w:space="0" w:color="auto"/>
        <w:right w:val="none" w:sz="0" w:space="0" w:color="auto"/>
      </w:divBdr>
    </w:div>
    <w:div w:id="2034915059">
      <w:bodyDiv w:val="1"/>
      <w:marLeft w:val="0"/>
      <w:marRight w:val="0"/>
      <w:marTop w:val="0"/>
      <w:marBottom w:val="0"/>
      <w:divBdr>
        <w:top w:val="none" w:sz="0" w:space="0" w:color="auto"/>
        <w:left w:val="none" w:sz="0" w:space="0" w:color="auto"/>
        <w:bottom w:val="none" w:sz="0" w:space="0" w:color="auto"/>
        <w:right w:val="none" w:sz="0" w:space="0" w:color="auto"/>
      </w:divBdr>
    </w:div>
    <w:div w:id="2036728742">
      <w:bodyDiv w:val="1"/>
      <w:marLeft w:val="0"/>
      <w:marRight w:val="0"/>
      <w:marTop w:val="0"/>
      <w:marBottom w:val="0"/>
      <w:divBdr>
        <w:top w:val="none" w:sz="0" w:space="0" w:color="auto"/>
        <w:left w:val="none" w:sz="0" w:space="0" w:color="auto"/>
        <w:bottom w:val="none" w:sz="0" w:space="0" w:color="auto"/>
        <w:right w:val="none" w:sz="0" w:space="0" w:color="auto"/>
      </w:divBdr>
    </w:div>
    <w:div w:id="2037808206">
      <w:bodyDiv w:val="1"/>
      <w:marLeft w:val="0"/>
      <w:marRight w:val="0"/>
      <w:marTop w:val="0"/>
      <w:marBottom w:val="0"/>
      <w:divBdr>
        <w:top w:val="none" w:sz="0" w:space="0" w:color="auto"/>
        <w:left w:val="none" w:sz="0" w:space="0" w:color="auto"/>
        <w:bottom w:val="none" w:sz="0" w:space="0" w:color="auto"/>
        <w:right w:val="none" w:sz="0" w:space="0" w:color="auto"/>
      </w:divBdr>
    </w:div>
    <w:div w:id="2039888101">
      <w:bodyDiv w:val="1"/>
      <w:marLeft w:val="0"/>
      <w:marRight w:val="0"/>
      <w:marTop w:val="0"/>
      <w:marBottom w:val="0"/>
      <w:divBdr>
        <w:top w:val="none" w:sz="0" w:space="0" w:color="auto"/>
        <w:left w:val="none" w:sz="0" w:space="0" w:color="auto"/>
        <w:bottom w:val="none" w:sz="0" w:space="0" w:color="auto"/>
        <w:right w:val="none" w:sz="0" w:space="0" w:color="auto"/>
      </w:divBdr>
    </w:div>
    <w:div w:id="2042511809">
      <w:bodyDiv w:val="1"/>
      <w:marLeft w:val="0"/>
      <w:marRight w:val="0"/>
      <w:marTop w:val="0"/>
      <w:marBottom w:val="0"/>
      <w:divBdr>
        <w:top w:val="none" w:sz="0" w:space="0" w:color="auto"/>
        <w:left w:val="none" w:sz="0" w:space="0" w:color="auto"/>
        <w:bottom w:val="none" w:sz="0" w:space="0" w:color="auto"/>
        <w:right w:val="none" w:sz="0" w:space="0" w:color="auto"/>
      </w:divBdr>
    </w:div>
    <w:div w:id="2055930739">
      <w:bodyDiv w:val="1"/>
      <w:marLeft w:val="0"/>
      <w:marRight w:val="0"/>
      <w:marTop w:val="0"/>
      <w:marBottom w:val="0"/>
      <w:divBdr>
        <w:top w:val="none" w:sz="0" w:space="0" w:color="auto"/>
        <w:left w:val="none" w:sz="0" w:space="0" w:color="auto"/>
        <w:bottom w:val="none" w:sz="0" w:space="0" w:color="auto"/>
        <w:right w:val="none" w:sz="0" w:space="0" w:color="auto"/>
      </w:divBdr>
      <w:divsChild>
        <w:div w:id="319969083">
          <w:marLeft w:val="446"/>
          <w:marRight w:val="0"/>
          <w:marTop w:val="0"/>
          <w:marBottom w:val="0"/>
          <w:divBdr>
            <w:top w:val="none" w:sz="0" w:space="0" w:color="auto"/>
            <w:left w:val="none" w:sz="0" w:space="0" w:color="auto"/>
            <w:bottom w:val="none" w:sz="0" w:space="0" w:color="auto"/>
            <w:right w:val="none" w:sz="0" w:space="0" w:color="auto"/>
          </w:divBdr>
        </w:div>
        <w:div w:id="337269347">
          <w:marLeft w:val="446"/>
          <w:marRight w:val="0"/>
          <w:marTop w:val="0"/>
          <w:marBottom w:val="0"/>
          <w:divBdr>
            <w:top w:val="none" w:sz="0" w:space="0" w:color="auto"/>
            <w:left w:val="none" w:sz="0" w:space="0" w:color="auto"/>
            <w:bottom w:val="none" w:sz="0" w:space="0" w:color="auto"/>
            <w:right w:val="none" w:sz="0" w:space="0" w:color="auto"/>
          </w:divBdr>
        </w:div>
        <w:div w:id="342904871">
          <w:marLeft w:val="446"/>
          <w:marRight w:val="0"/>
          <w:marTop w:val="0"/>
          <w:marBottom w:val="0"/>
          <w:divBdr>
            <w:top w:val="none" w:sz="0" w:space="0" w:color="auto"/>
            <w:left w:val="none" w:sz="0" w:space="0" w:color="auto"/>
            <w:bottom w:val="none" w:sz="0" w:space="0" w:color="auto"/>
            <w:right w:val="none" w:sz="0" w:space="0" w:color="auto"/>
          </w:divBdr>
        </w:div>
        <w:div w:id="345331175">
          <w:marLeft w:val="446"/>
          <w:marRight w:val="0"/>
          <w:marTop w:val="0"/>
          <w:marBottom w:val="0"/>
          <w:divBdr>
            <w:top w:val="none" w:sz="0" w:space="0" w:color="auto"/>
            <w:left w:val="none" w:sz="0" w:space="0" w:color="auto"/>
            <w:bottom w:val="none" w:sz="0" w:space="0" w:color="auto"/>
            <w:right w:val="none" w:sz="0" w:space="0" w:color="auto"/>
          </w:divBdr>
        </w:div>
        <w:div w:id="511919505">
          <w:marLeft w:val="446"/>
          <w:marRight w:val="0"/>
          <w:marTop w:val="0"/>
          <w:marBottom w:val="0"/>
          <w:divBdr>
            <w:top w:val="none" w:sz="0" w:space="0" w:color="auto"/>
            <w:left w:val="none" w:sz="0" w:space="0" w:color="auto"/>
            <w:bottom w:val="none" w:sz="0" w:space="0" w:color="auto"/>
            <w:right w:val="none" w:sz="0" w:space="0" w:color="auto"/>
          </w:divBdr>
        </w:div>
        <w:div w:id="690112183">
          <w:marLeft w:val="446"/>
          <w:marRight w:val="0"/>
          <w:marTop w:val="0"/>
          <w:marBottom w:val="0"/>
          <w:divBdr>
            <w:top w:val="none" w:sz="0" w:space="0" w:color="auto"/>
            <w:left w:val="none" w:sz="0" w:space="0" w:color="auto"/>
            <w:bottom w:val="none" w:sz="0" w:space="0" w:color="auto"/>
            <w:right w:val="none" w:sz="0" w:space="0" w:color="auto"/>
          </w:divBdr>
        </w:div>
        <w:div w:id="691497512">
          <w:marLeft w:val="446"/>
          <w:marRight w:val="0"/>
          <w:marTop w:val="0"/>
          <w:marBottom w:val="0"/>
          <w:divBdr>
            <w:top w:val="none" w:sz="0" w:space="0" w:color="auto"/>
            <w:left w:val="none" w:sz="0" w:space="0" w:color="auto"/>
            <w:bottom w:val="none" w:sz="0" w:space="0" w:color="auto"/>
            <w:right w:val="none" w:sz="0" w:space="0" w:color="auto"/>
          </w:divBdr>
        </w:div>
        <w:div w:id="790900432">
          <w:marLeft w:val="446"/>
          <w:marRight w:val="0"/>
          <w:marTop w:val="0"/>
          <w:marBottom w:val="0"/>
          <w:divBdr>
            <w:top w:val="none" w:sz="0" w:space="0" w:color="auto"/>
            <w:left w:val="none" w:sz="0" w:space="0" w:color="auto"/>
            <w:bottom w:val="none" w:sz="0" w:space="0" w:color="auto"/>
            <w:right w:val="none" w:sz="0" w:space="0" w:color="auto"/>
          </w:divBdr>
        </w:div>
        <w:div w:id="933439792">
          <w:marLeft w:val="446"/>
          <w:marRight w:val="0"/>
          <w:marTop w:val="0"/>
          <w:marBottom w:val="0"/>
          <w:divBdr>
            <w:top w:val="none" w:sz="0" w:space="0" w:color="auto"/>
            <w:left w:val="none" w:sz="0" w:space="0" w:color="auto"/>
            <w:bottom w:val="none" w:sz="0" w:space="0" w:color="auto"/>
            <w:right w:val="none" w:sz="0" w:space="0" w:color="auto"/>
          </w:divBdr>
        </w:div>
        <w:div w:id="1055156103">
          <w:marLeft w:val="446"/>
          <w:marRight w:val="0"/>
          <w:marTop w:val="0"/>
          <w:marBottom w:val="0"/>
          <w:divBdr>
            <w:top w:val="none" w:sz="0" w:space="0" w:color="auto"/>
            <w:left w:val="none" w:sz="0" w:space="0" w:color="auto"/>
            <w:bottom w:val="none" w:sz="0" w:space="0" w:color="auto"/>
            <w:right w:val="none" w:sz="0" w:space="0" w:color="auto"/>
          </w:divBdr>
        </w:div>
        <w:div w:id="1072846479">
          <w:marLeft w:val="446"/>
          <w:marRight w:val="0"/>
          <w:marTop w:val="0"/>
          <w:marBottom w:val="0"/>
          <w:divBdr>
            <w:top w:val="none" w:sz="0" w:space="0" w:color="auto"/>
            <w:left w:val="none" w:sz="0" w:space="0" w:color="auto"/>
            <w:bottom w:val="none" w:sz="0" w:space="0" w:color="auto"/>
            <w:right w:val="none" w:sz="0" w:space="0" w:color="auto"/>
          </w:divBdr>
        </w:div>
        <w:div w:id="1089889066">
          <w:marLeft w:val="446"/>
          <w:marRight w:val="0"/>
          <w:marTop w:val="0"/>
          <w:marBottom w:val="0"/>
          <w:divBdr>
            <w:top w:val="none" w:sz="0" w:space="0" w:color="auto"/>
            <w:left w:val="none" w:sz="0" w:space="0" w:color="auto"/>
            <w:bottom w:val="none" w:sz="0" w:space="0" w:color="auto"/>
            <w:right w:val="none" w:sz="0" w:space="0" w:color="auto"/>
          </w:divBdr>
        </w:div>
        <w:div w:id="1101683807">
          <w:marLeft w:val="446"/>
          <w:marRight w:val="0"/>
          <w:marTop w:val="0"/>
          <w:marBottom w:val="0"/>
          <w:divBdr>
            <w:top w:val="none" w:sz="0" w:space="0" w:color="auto"/>
            <w:left w:val="none" w:sz="0" w:space="0" w:color="auto"/>
            <w:bottom w:val="none" w:sz="0" w:space="0" w:color="auto"/>
            <w:right w:val="none" w:sz="0" w:space="0" w:color="auto"/>
          </w:divBdr>
        </w:div>
        <w:div w:id="1148011097">
          <w:marLeft w:val="446"/>
          <w:marRight w:val="0"/>
          <w:marTop w:val="0"/>
          <w:marBottom w:val="0"/>
          <w:divBdr>
            <w:top w:val="none" w:sz="0" w:space="0" w:color="auto"/>
            <w:left w:val="none" w:sz="0" w:space="0" w:color="auto"/>
            <w:bottom w:val="none" w:sz="0" w:space="0" w:color="auto"/>
            <w:right w:val="none" w:sz="0" w:space="0" w:color="auto"/>
          </w:divBdr>
        </w:div>
        <w:div w:id="1189759964">
          <w:marLeft w:val="446"/>
          <w:marRight w:val="0"/>
          <w:marTop w:val="0"/>
          <w:marBottom w:val="0"/>
          <w:divBdr>
            <w:top w:val="none" w:sz="0" w:space="0" w:color="auto"/>
            <w:left w:val="none" w:sz="0" w:space="0" w:color="auto"/>
            <w:bottom w:val="none" w:sz="0" w:space="0" w:color="auto"/>
            <w:right w:val="none" w:sz="0" w:space="0" w:color="auto"/>
          </w:divBdr>
        </w:div>
        <w:div w:id="1248997185">
          <w:marLeft w:val="446"/>
          <w:marRight w:val="0"/>
          <w:marTop w:val="0"/>
          <w:marBottom w:val="0"/>
          <w:divBdr>
            <w:top w:val="none" w:sz="0" w:space="0" w:color="auto"/>
            <w:left w:val="none" w:sz="0" w:space="0" w:color="auto"/>
            <w:bottom w:val="none" w:sz="0" w:space="0" w:color="auto"/>
            <w:right w:val="none" w:sz="0" w:space="0" w:color="auto"/>
          </w:divBdr>
        </w:div>
        <w:div w:id="1604192697">
          <w:marLeft w:val="446"/>
          <w:marRight w:val="0"/>
          <w:marTop w:val="0"/>
          <w:marBottom w:val="0"/>
          <w:divBdr>
            <w:top w:val="none" w:sz="0" w:space="0" w:color="auto"/>
            <w:left w:val="none" w:sz="0" w:space="0" w:color="auto"/>
            <w:bottom w:val="none" w:sz="0" w:space="0" w:color="auto"/>
            <w:right w:val="none" w:sz="0" w:space="0" w:color="auto"/>
          </w:divBdr>
        </w:div>
        <w:div w:id="1610241241">
          <w:marLeft w:val="446"/>
          <w:marRight w:val="0"/>
          <w:marTop w:val="0"/>
          <w:marBottom w:val="0"/>
          <w:divBdr>
            <w:top w:val="none" w:sz="0" w:space="0" w:color="auto"/>
            <w:left w:val="none" w:sz="0" w:space="0" w:color="auto"/>
            <w:bottom w:val="none" w:sz="0" w:space="0" w:color="auto"/>
            <w:right w:val="none" w:sz="0" w:space="0" w:color="auto"/>
          </w:divBdr>
        </w:div>
        <w:div w:id="1710033691">
          <w:marLeft w:val="446"/>
          <w:marRight w:val="0"/>
          <w:marTop w:val="0"/>
          <w:marBottom w:val="0"/>
          <w:divBdr>
            <w:top w:val="none" w:sz="0" w:space="0" w:color="auto"/>
            <w:left w:val="none" w:sz="0" w:space="0" w:color="auto"/>
            <w:bottom w:val="none" w:sz="0" w:space="0" w:color="auto"/>
            <w:right w:val="none" w:sz="0" w:space="0" w:color="auto"/>
          </w:divBdr>
        </w:div>
        <w:div w:id="2075085950">
          <w:marLeft w:val="446"/>
          <w:marRight w:val="0"/>
          <w:marTop w:val="0"/>
          <w:marBottom w:val="0"/>
          <w:divBdr>
            <w:top w:val="none" w:sz="0" w:space="0" w:color="auto"/>
            <w:left w:val="none" w:sz="0" w:space="0" w:color="auto"/>
            <w:bottom w:val="none" w:sz="0" w:space="0" w:color="auto"/>
            <w:right w:val="none" w:sz="0" w:space="0" w:color="auto"/>
          </w:divBdr>
        </w:div>
      </w:divsChild>
    </w:div>
    <w:div w:id="2056275876">
      <w:bodyDiv w:val="1"/>
      <w:marLeft w:val="0"/>
      <w:marRight w:val="0"/>
      <w:marTop w:val="0"/>
      <w:marBottom w:val="0"/>
      <w:divBdr>
        <w:top w:val="none" w:sz="0" w:space="0" w:color="auto"/>
        <w:left w:val="none" w:sz="0" w:space="0" w:color="auto"/>
        <w:bottom w:val="none" w:sz="0" w:space="0" w:color="auto"/>
        <w:right w:val="none" w:sz="0" w:space="0" w:color="auto"/>
      </w:divBdr>
    </w:div>
    <w:div w:id="2065835251">
      <w:bodyDiv w:val="1"/>
      <w:marLeft w:val="0"/>
      <w:marRight w:val="0"/>
      <w:marTop w:val="0"/>
      <w:marBottom w:val="0"/>
      <w:divBdr>
        <w:top w:val="none" w:sz="0" w:space="0" w:color="auto"/>
        <w:left w:val="none" w:sz="0" w:space="0" w:color="auto"/>
        <w:bottom w:val="none" w:sz="0" w:space="0" w:color="auto"/>
        <w:right w:val="none" w:sz="0" w:space="0" w:color="auto"/>
      </w:divBdr>
    </w:div>
    <w:div w:id="2076077293">
      <w:bodyDiv w:val="1"/>
      <w:marLeft w:val="0"/>
      <w:marRight w:val="0"/>
      <w:marTop w:val="0"/>
      <w:marBottom w:val="0"/>
      <w:divBdr>
        <w:top w:val="none" w:sz="0" w:space="0" w:color="auto"/>
        <w:left w:val="none" w:sz="0" w:space="0" w:color="auto"/>
        <w:bottom w:val="none" w:sz="0" w:space="0" w:color="auto"/>
        <w:right w:val="none" w:sz="0" w:space="0" w:color="auto"/>
      </w:divBdr>
    </w:div>
    <w:div w:id="2076734237">
      <w:bodyDiv w:val="1"/>
      <w:marLeft w:val="0"/>
      <w:marRight w:val="0"/>
      <w:marTop w:val="0"/>
      <w:marBottom w:val="0"/>
      <w:divBdr>
        <w:top w:val="none" w:sz="0" w:space="0" w:color="auto"/>
        <w:left w:val="none" w:sz="0" w:space="0" w:color="auto"/>
        <w:bottom w:val="none" w:sz="0" w:space="0" w:color="auto"/>
        <w:right w:val="none" w:sz="0" w:space="0" w:color="auto"/>
      </w:divBdr>
    </w:div>
    <w:div w:id="2078044126">
      <w:bodyDiv w:val="1"/>
      <w:marLeft w:val="0"/>
      <w:marRight w:val="0"/>
      <w:marTop w:val="0"/>
      <w:marBottom w:val="0"/>
      <w:divBdr>
        <w:top w:val="none" w:sz="0" w:space="0" w:color="auto"/>
        <w:left w:val="none" w:sz="0" w:space="0" w:color="auto"/>
        <w:bottom w:val="none" w:sz="0" w:space="0" w:color="auto"/>
        <w:right w:val="none" w:sz="0" w:space="0" w:color="auto"/>
      </w:divBdr>
    </w:div>
    <w:div w:id="2081949294">
      <w:bodyDiv w:val="1"/>
      <w:marLeft w:val="0"/>
      <w:marRight w:val="0"/>
      <w:marTop w:val="0"/>
      <w:marBottom w:val="0"/>
      <w:divBdr>
        <w:top w:val="none" w:sz="0" w:space="0" w:color="auto"/>
        <w:left w:val="none" w:sz="0" w:space="0" w:color="auto"/>
        <w:bottom w:val="none" w:sz="0" w:space="0" w:color="auto"/>
        <w:right w:val="none" w:sz="0" w:space="0" w:color="auto"/>
      </w:divBdr>
    </w:div>
    <w:div w:id="2082360606">
      <w:bodyDiv w:val="1"/>
      <w:marLeft w:val="0"/>
      <w:marRight w:val="0"/>
      <w:marTop w:val="0"/>
      <w:marBottom w:val="0"/>
      <w:divBdr>
        <w:top w:val="none" w:sz="0" w:space="0" w:color="auto"/>
        <w:left w:val="none" w:sz="0" w:space="0" w:color="auto"/>
        <w:bottom w:val="none" w:sz="0" w:space="0" w:color="auto"/>
        <w:right w:val="none" w:sz="0" w:space="0" w:color="auto"/>
      </w:divBdr>
    </w:div>
    <w:div w:id="2087528309">
      <w:bodyDiv w:val="1"/>
      <w:marLeft w:val="0"/>
      <w:marRight w:val="0"/>
      <w:marTop w:val="0"/>
      <w:marBottom w:val="0"/>
      <w:divBdr>
        <w:top w:val="none" w:sz="0" w:space="0" w:color="auto"/>
        <w:left w:val="none" w:sz="0" w:space="0" w:color="auto"/>
        <w:bottom w:val="none" w:sz="0" w:space="0" w:color="auto"/>
        <w:right w:val="none" w:sz="0" w:space="0" w:color="auto"/>
      </w:divBdr>
    </w:div>
    <w:div w:id="2088455943">
      <w:bodyDiv w:val="1"/>
      <w:marLeft w:val="0"/>
      <w:marRight w:val="0"/>
      <w:marTop w:val="0"/>
      <w:marBottom w:val="0"/>
      <w:divBdr>
        <w:top w:val="none" w:sz="0" w:space="0" w:color="auto"/>
        <w:left w:val="none" w:sz="0" w:space="0" w:color="auto"/>
        <w:bottom w:val="none" w:sz="0" w:space="0" w:color="auto"/>
        <w:right w:val="none" w:sz="0" w:space="0" w:color="auto"/>
      </w:divBdr>
    </w:div>
    <w:div w:id="2090154377">
      <w:bodyDiv w:val="1"/>
      <w:marLeft w:val="0"/>
      <w:marRight w:val="0"/>
      <w:marTop w:val="0"/>
      <w:marBottom w:val="0"/>
      <w:divBdr>
        <w:top w:val="none" w:sz="0" w:space="0" w:color="auto"/>
        <w:left w:val="none" w:sz="0" w:space="0" w:color="auto"/>
        <w:bottom w:val="none" w:sz="0" w:space="0" w:color="auto"/>
        <w:right w:val="none" w:sz="0" w:space="0" w:color="auto"/>
      </w:divBdr>
    </w:div>
    <w:div w:id="2093698389">
      <w:bodyDiv w:val="1"/>
      <w:marLeft w:val="0"/>
      <w:marRight w:val="0"/>
      <w:marTop w:val="0"/>
      <w:marBottom w:val="0"/>
      <w:divBdr>
        <w:top w:val="none" w:sz="0" w:space="0" w:color="auto"/>
        <w:left w:val="none" w:sz="0" w:space="0" w:color="auto"/>
        <w:bottom w:val="none" w:sz="0" w:space="0" w:color="auto"/>
        <w:right w:val="none" w:sz="0" w:space="0" w:color="auto"/>
      </w:divBdr>
    </w:div>
    <w:div w:id="2094430482">
      <w:bodyDiv w:val="1"/>
      <w:marLeft w:val="0"/>
      <w:marRight w:val="0"/>
      <w:marTop w:val="0"/>
      <w:marBottom w:val="0"/>
      <w:divBdr>
        <w:top w:val="none" w:sz="0" w:space="0" w:color="auto"/>
        <w:left w:val="none" w:sz="0" w:space="0" w:color="auto"/>
        <w:bottom w:val="none" w:sz="0" w:space="0" w:color="auto"/>
        <w:right w:val="none" w:sz="0" w:space="0" w:color="auto"/>
      </w:divBdr>
    </w:div>
    <w:div w:id="2095856513">
      <w:bodyDiv w:val="1"/>
      <w:marLeft w:val="0"/>
      <w:marRight w:val="0"/>
      <w:marTop w:val="0"/>
      <w:marBottom w:val="0"/>
      <w:divBdr>
        <w:top w:val="none" w:sz="0" w:space="0" w:color="auto"/>
        <w:left w:val="none" w:sz="0" w:space="0" w:color="auto"/>
        <w:bottom w:val="none" w:sz="0" w:space="0" w:color="auto"/>
        <w:right w:val="none" w:sz="0" w:space="0" w:color="auto"/>
      </w:divBdr>
    </w:div>
    <w:div w:id="2096586270">
      <w:bodyDiv w:val="1"/>
      <w:marLeft w:val="0"/>
      <w:marRight w:val="0"/>
      <w:marTop w:val="0"/>
      <w:marBottom w:val="0"/>
      <w:divBdr>
        <w:top w:val="none" w:sz="0" w:space="0" w:color="auto"/>
        <w:left w:val="none" w:sz="0" w:space="0" w:color="auto"/>
        <w:bottom w:val="none" w:sz="0" w:space="0" w:color="auto"/>
        <w:right w:val="none" w:sz="0" w:space="0" w:color="auto"/>
      </w:divBdr>
    </w:div>
    <w:div w:id="2101020089">
      <w:bodyDiv w:val="1"/>
      <w:marLeft w:val="0"/>
      <w:marRight w:val="0"/>
      <w:marTop w:val="0"/>
      <w:marBottom w:val="0"/>
      <w:divBdr>
        <w:top w:val="none" w:sz="0" w:space="0" w:color="auto"/>
        <w:left w:val="none" w:sz="0" w:space="0" w:color="auto"/>
        <w:bottom w:val="none" w:sz="0" w:space="0" w:color="auto"/>
        <w:right w:val="none" w:sz="0" w:space="0" w:color="auto"/>
      </w:divBdr>
    </w:div>
    <w:div w:id="2103867433">
      <w:bodyDiv w:val="1"/>
      <w:marLeft w:val="0"/>
      <w:marRight w:val="0"/>
      <w:marTop w:val="0"/>
      <w:marBottom w:val="0"/>
      <w:divBdr>
        <w:top w:val="none" w:sz="0" w:space="0" w:color="auto"/>
        <w:left w:val="none" w:sz="0" w:space="0" w:color="auto"/>
        <w:bottom w:val="none" w:sz="0" w:space="0" w:color="auto"/>
        <w:right w:val="none" w:sz="0" w:space="0" w:color="auto"/>
      </w:divBdr>
    </w:div>
    <w:div w:id="2103985356">
      <w:bodyDiv w:val="1"/>
      <w:marLeft w:val="0"/>
      <w:marRight w:val="0"/>
      <w:marTop w:val="0"/>
      <w:marBottom w:val="0"/>
      <w:divBdr>
        <w:top w:val="none" w:sz="0" w:space="0" w:color="auto"/>
        <w:left w:val="none" w:sz="0" w:space="0" w:color="auto"/>
        <w:bottom w:val="none" w:sz="0" w:space="0" w:color="auto"/>
        <w:right w:val="none" w:sz="0" w:space="0" w:color="auto"/>
      </w:divBdr>
    </w:div>
    <w:div w:id="2105803323">
      <w:bodyDiv w:val="1"/>
      <w:marLeft w:val="0"/>
      <w:marRight w:val="0"/>
      <w:marTop w:val="0"/>
      <w:marBottom w:val="0"/>
      <w:divBdr>
        <w:top w:val="none" w:sz="0" w:space="0" w:color="auto"/>
        <w:left w:val="none" w:sz="0" w:space="0" w:color="auto"/>
        <w:bottom w:val="none" w:sz="0" w:space="0" w:color="auto"/>
        <w:right w:val="none" w:sz="0" w:space="0" w:color="auto"/>
      </w:divBdr>
    </w:div>
    <w:div w:id="2108653272">
      <w:bodyDiv w:val="1"/>
      <w:marLeft w:val="0"/>
      <w:marRight w:val="0"/>
      <w:marTop w:val="0"/>
      <w:marBottom w:val="0"/>
      <w:divBdr>
        <w:top w:val="none" w:sz="0" w:space="0" w:color="auto"/>
        <w:left w:val="none" w:sz="0" w:space="0" w:color="auto"/>
        <w:bottom w:val="none" w:sz="0" w:space="0" w:color="auto"/>
        <w:right w:val="none" w:sz="0" w:space="0" w:color="auto"/>
      </w:divBdr>
    </w:div>
    <w:div w:id="2109958042">
      <w:bodyDiv w:val="1"/>
      <w:marLeft w:val="0"/>
      <w:marRight w:val="0"/>
      <w:marTop w:val="0"/>
      <w:marBottom w:val="0"/>
      <w:divBdr>
        <w:top w:val="none" w:sz="0" w:space="0" w:color="auto"/>
        <w:left w:val="none" w:sz="0" w:space="0" w:color="auto"/>
        <w:bottom w:val="none" w:sz="0" w:space="0" w:color="auto"/>
        <w:right w:val="none" w:sz="0" w:space="0" w:color="auto"/>
      </w:divBdr>
    </w:div>
    <w:div w:id="2112431388">
      <w:bodyDiv w:val="1"/>
      <w:marLeft w:val="0"/>
      <w:marRight w:val="0"/>
      <w:marTop w:val="0"/>
      <w:marBottom w:val="0"/>
      <w:divBdr>
        <w:top w:val="none" w:sz="0" w:space="0" w:color="auto"/>
        <w:left w:val="none" w:sz="0" w:space="0" w:color="auto"/>
        <w:bottom w:val="none" w:sz="0" w:space="0" w:color="auto"/>
        <w:right w:val="none" w:sz="0" w:space="0" w:color="auto"/>
      </w:divBdr>
    </w:div>
    <w:div w:id="2117670203">
      <w:bodyDiv w:val="1"/>
      <w:marLeft w:val="0"/>
      <w:marRight w:val="0"/>
      <w:marTop w:val="0"/>
      <w:marBottom w:val="0"/>
      <w:divBdr>
        <w:top w:val="none" w:sz="0" w:space="0" w:color="auto"/>
        <w:left w:val="none" w:sz="0" w:space="0" w:color="auto"/>
        <w:bottom w:val="none" w:sz="0" w:space="0" w:color="auto"/>
        <w:right w:val="none" w:sz="0" w:space="0" w:color="auto"/>
      </w:divBdr>
    </w:div>
    <w:div w:id="2124108817">
      <w:bodyDiv w:val="1"/>
      <w:marLeft w:val="0"/>
      <w:marRight w:val="0"/>
      <w:marTop w:val="0"/>
      <w:marBottom w:val="0"/>
      <w:divBdr>
        <w:top w:val="none" w:sz="0" w:space="0" w:color="auto"/>
        <w:left w:val="none" w:sz="0" w:space="0" w:color="auto"/>
        <w:bottom w:val="none" w:sz="0" w:space="0" w:color="auto"/>
        <w:right w:val="none" w:sz="0" w:space="0" w:color="auto"/>
      </w:divBdr>
    </w:div>
    <w:div w:id="2125029651">
      <w:bodyDiv w:val="1"/>
      <w:marLeft w:val="0"/>
      <w:marRight w:val="0"/>
      <w:marTop w:val="0"/>
      <w:marBottom w:val="0"/>
      <w:divBdr>
        <w:top w:val="none" w:sz="0" w:space="0" w:color="auto"/>
        <w:left w:val="none" w:sz="0" w:space="0" w:color="auto"/>
        <w:bottom w:val="none" w:sz="0" w:space="0" w:color="auto"/>
        <w:right w:val="none" w:sz="0" w:space="0" w:color="auto"/>
      </w:divBdr>
    </w:div>
    <w:div w:id="2125146224">
      <w:bodyDiv w:val="1"/>
      <w:marLeft w:val="0"/>
      <w:marRight w:val="0"/>
      <w:marTop w:val="0"/>
      <w:marBottom w:val="0"/>
      <w:divBdr>
        <w:top w:val="none" w:sz="0" w:space="0" w:color="auto"/>
        <w:left w:val="none" w:sz="0" w:space="0" w:color="auto"/>
        <w:bottom w:val="none" w:sz="0" w:space="0" w:color="auto"/>
        <w:right w:val="none" w:sz="0" w:space="0" w:color="auto"/>
      </w:divBdr>
    </w:div>
    <w:div w:id="2127432416">
      <w:bodyDiv w:val="1"/>
      <w:marLeft w:val="0"/>
      <w:marRight w:val="0"/>
      <w:marTop w:val="0"/>
      <w:marBottom w:val="0"/>
      <w:divBdr>
        <w:top w:val="none" w:sz="0" w:space="0" w:color="auto"/>
        <w:left w:val="none" w:sz="0" w:space="0" w:color="auto"/>
        <w:bottom w:val="none" w:sz="0" w:space="0" w:color="auto"/>
        <w:right w:val="none" w:sz="0" w:space="0" w:color="auto"/>
      </w:divBdr>
    </w:div>
    <w:div w:id="2128813647">
      <w:bodyDiv w:val="1"/>
      <w:marLeft w:val="0"/>
      <w:marRight w:val="0"/>
      <w:marTop w:val="0"/>
      <w:marBottom w:val="0"/>
      <w:divBdr>
        <w:top w:val="none" w:sz="0" w:space="0" w:color="auto"/>
        <w:left w:val="none" w:sz="0" w:space="0" w:color="auto"/>
        <w:bottom w:val="none" w:sz="0" w:space="0" w:color="auto"/>
        <w:right w:val="none" w:sz="0" w:space="0" w:color="auto"/>
      </w:divBdr>
    </w:div>
    <w:div w:id="2132821653">
      <w:bodyDiv w:val="1"/>
      <w:marLeft w:val="0"/>
      <w:marRight w:val="0"/>
      <w:marTop w:val="0"/>
      <w:marBottom w:val="0"/>
      <w:divBdr>
        <w:top w:val="none" w:sz="0" w:space="0" w:color="auto"/>
        <w:left w:val="none" w:sz="0" w:space="0" w:color="auto"/>
        <w:bottom w:val="none" w:sz="0" w:space="0" w:color="auto"/>
        <w:right w:val="none" w:sz="0" w:space="0" w:color="auto"/>
      </w:divBdr>
    </w:div>
    <w:div w:id="2133745118">
      <w:bodyDiv w:val="1"/>
      <w:marLeft w:val="0"/>
      <w:marRight w:val="0"/>
      <w:marTop w:val="0"/>
      <w:marBottom w:val="0"/>
      <w:divBdr>
        <w:top w:val="none" w:sz="0" w:space="0" w:color="auto"/>
        <w:left w:val="none" w:sz="0" w:space="0" w:color="auto"/>
        <w:bottom w:val="none" w:sz="0" w:space="0" w:color="auto"/>
        <w:right w:val="none" w:sz="0" w:space="0" w:color="auto"/>
      </w:divBdr>
    </w:div>
    <w:div w:id="2142460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digiriik.eesti.ee/" TargetMode="External" Id="rId26" /><Relationship Type="http://schemas.openxmlformats.org/officeDocument/2006/relationships/image" Target="media/image11.png" Id="rId21" /><Relationship Type="http://schemas.openxmlformats.org/officeDocument/2006/relationships/image" Target="media/image31.png" Id="rId42" /><Relationship Type="http://schemas.openxmlformats.org/officeDocument/2006/relationships/image" Target="media/image36.png" Id="rId47" /><Relationship Type="http://schemas.openxmlformats.org/officeDocument/2006/relationships/image" Target="media/image50.png" Id="rId63" /><Relationship Type="http://schemas.openxmlformats.org/officeDocument/2006/relationships/image" Target="media/image52.png" Id="rId68" /><Relationship Type="http://schemas.openxmlformats.org/officeDocument/2006/relationships/image" Target="media/image67.png" Id="rId84" /><Relationship Type="http://schemas.openxmlformats.org/officeDocument/2006/relationships/image" Target="media/image72.png" Id="rId89" /><Relationship Type="http://schemas.openxmlformats.org/officeDocument/2006/relationships/theme" Target="theme/theme1.xml" Id="rId112" /><Relationship Type="http://schemas.openxmlformats.org/officeDocument/2006/relationships/image" Target="media/image6.png" Id="rId16" /><Relationship Type="http://schemas.openxmlformats.org/officeDocument/2006/relationships/footer" Target="footer1.xml" Id="rId107" /><Relationship Type="http://schemas.openxmlformats.org/officeDocument/2006/relationships/image" Target="media/image1.jpeg" Id="rId11" /><Relationship Type="http://schemas.openxmlformats.org/officeDocument/2006/relationships/image" Target="media/image21.png" Id="rId32" /><Relationship Type="http://schemas.openxmlformats.org/officeDocument/2006/relationships/image" Target="media/image26.png" Id="rId37" /><Relationship Type="http://schemas.openxmlformats.org/officeDocument/2006/relationships/image" Target="media/image42.svg" Id="rId53" /><Relationship Type="http://schemas.openxmlformats.org/officeDocument/2006/relationships/image" Target="media/image45.svg" Id="rId58" /><Relationship Type="http://schemas.openxmlformats.org/officeDocument/2006/relationships/image" Target="media/image58.png" Id="rId74" /><Relationship Type="http://schemas.openxmlformats.org/officeDocument/2006/relationships/image" Target="media/image63.png" Id="rId79" /><Relationship Type="http://schemas.openxmlformats.org/officeDocument/2006/relationships/image" Target="media/image85.png" Id="rId102" /><Relationship Type="http://schemas.openxmlformats.org/officeDocument/2006/relationships/numbering" Target="numbering.xml" Id="rId5" /><Relationship Type="http://schemas.openxmlformats.org/officeDocument/2006/relationships/image" Target="media/image73.png" Id="rId90" /><Relationship Type="http://schemas.openxmlformats.org/officeDocument/2006/relationships/image" Target="media/image78.png" Id="rId95" /><Relationship Type="http://schemas.openxmlformats.org/officeDocument/2006/relationships/image" Target="media/image12.png" Id="rId22" /><Relationship Type="http://schemas.openxmlformats.org/officeDocument/2006/relationships/image" Target="media/image16.png" Id="rId27" /><Relationship Type="http://schemas.openxmlformats.org/officeDocument/2006/relationships/image" Target="media/image32.svg" Id="rId43" /><Relationship Type="http://schemas.openxmlformats.org/officeDocument/2006/relationships/image" Target="media/image37.svg" Id="rId48" /><Relationship Type="http://schemas.openxmlformats.org/officeDocument/2006/relationships/hyperlink" Target="https://www.digitalaustria.gv.at/verwaltung/gremien/gremium-bund-laender-staedte-und-gemeinden.html" TargetMode="External" Id="rId64" /><Relationship Type="http://schemas.openxmlformats.org/officeDocument/2006/relationships/image" Target="media/image53.svg" Id="rId69" /><Relationship Type="http://schemas.openxmlformats.org/officeDocument/2006/relationships/hyperlink" Target="http://www.eesti.ee" TargetMode="External" Id="rId80" /><Relationship Type="http://schemas.openxmlformats.org/officeDocument/2006/relationships/image" Target="media/image68.png" Id="rId85" /><Relationship Type="http://schemas.openxmlformats.org/officeDocument/2006/relationships/image" Target="media/image2.png" Id="rId12" /><Relationship Type="http://schemas.openxmlformats.org/officeDocument/2006/relationships/image" Target="media/image7.svg" Id="rId17" /><Relationship Type="http://schemas.openxmlformats.org/officeDocument/2006/relationships/image" Target="media/image22.svg" Id="rId33" /><Relationship Type="http://schemas.openxmlformats.org/officeDocument/2006/relationships/image" Target="media/image27.png" Id="rId38" /><Relationship Type="http://schemas.openxmlformats.org/officeDocument/2006/relationships/image" Target="media/image46.png" Id="rId59" /><Relationship Type="http://schemas.openxmlformats.org/officeDocument/2006/relationships/image" Target="media/image86.png" Id="rId103" /><Relationship Type="http://schemas.openxmlformats.org/officeDocument/2006/relationships/footer" Target="footer2.xml" Id="rId108" /><Relationship Type="http://schemas.openxmlformats.org/officeDocument/2006/relationships/image" Target="media/image43.png" Id="rId54" /><Relationship Type="http://schemas.openxmlformats.org/officeDocument/2006/relationships/image" Target="media/image54.emf" Id="rId70" /><Relationship Type="http://schemas.openxmlformats.org/officeDocument/2006/relationships/image" Target="media/image59.svg" Id="rId75" /><Relationship Type="http://schemas.openxmlformats.org/officeDocument/2006/relationships/image" Target="media/image74.svg" Id="rId91" /><Relationship Type="http://schemas.openxmlformats.org/officeDocument/2006/relationships/image" Target="media/image79.png"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5.png" Id="rId15" /><Relationship Type="http://schemas.openxmlformats.org/officeDocument/2006/relationships/image" Target="media/image13.png" Id="rId23" /><Relationship Type="http://schemas.openxmlformats.org/officeDocument/2006/relationships/image" Target="media/image17.png" Id="rId28" /><Relationship Type="http://schemas.openxmlformats.org/officeDocument/2006/relationships/image" Target="media/image25.png" Id="rId36" /><Relationship Type="http://schemas.openxmlformats.org/officeDocument/2006/relationships/image" Target="media/image38.emf" Id="rId49" /><Relationship Type="http://schemas.openxmlformats.org/officeDocument/2006/relationships/image" Target="media/image44.png" Id="rId57" /><Relationship Type="http://schemas.openxmlformats.org/officeDocument/2006/relationships/header" Target="header2.xml" Id="rId106" /><Relationship Type="http://schemas.openxmlformats.org/officeDocument/2006/relationships/endnotes" Target="endnotes.xml" Id="rId10" /><Relationship Type="http://schemas.openxmlformats.org/officeDocument/2006/relationships/image" Target="media/image20.png" Id="rId31" /><Relationship Type="http://schemas.openxmlformats.org/officeDocument/2006/relationships/image" Target="media/image33.png" Id="rId44" /><Relationship Type="http://schemas.openxmlformats.org/officeDocument/2006/relationships/image" Target="media/image41.png" Id="rId52" /><Relationship Type="http://schemas.openxmlformats.org/officeDocument/2006/relationships/image" Target="media/image47.png" Id="rId60" /><Relationship Type="http://schemas.openxmlformats.org/officeDocument/2006/relationships/hyperlink" Target="https://www.digitalaustria.gv.at/" TargetMode="External" Id="rId65" /><Relationship Type="http://schemas.openxmlformats.org/officeDocument/2006/relationships/image" Target="media/image57.emf" Id="rId73" /><Relationship Type="http://schemas.openxmlformats.org/officeDocument/2006/relationships/image" Target="media/image62.svg" Id="rId78" /><Relationship Type="http://schemas.openxmlformats.org/officeDocument/2006/relationships/image" Target="media/image64.png" Id="rId81" /><Relationship Type="http://schemas.openxmlformats.org/officeDocument/2006/relationships/image" Target="media/image69.svg" Id="rId86" /><Relationship Type="http://schemas.openxmlformats.org/officeDocument/2006/relationships/image" Target="media/image77.png" Id="rId94" /><Relationship Type="http://schemas.openxmlformats.org/officeDocument/2006/relationships/image" Target="media/image82.png" Id="rId99" /><Relationship Type="http://schemas.openxmlformats.org/officeDocument/2006/relationships/image" Target="media/image84.png" Id="rId10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image" Target="media/image28.svg" Id="rId39" /><Relationship Type="http://schemas.openxmlformats.org/officeDocument/2006/relationships/header" Target="header3.xml" Id="rId109" /><Relationship Type="http://schemas.openxmlformats.org/officeDocument/2006/relationships/image" Target="media/image23.png" Id="rId34" /><Relationship Type="http://schemas.openxmlformats.org/officeDocument/2006/relationships/image" Target="media/image39.png" Id="rId50" /><Relationship Type="http://schemas.openxmlformats.org/officeDocument/2006/relationships/hyperlink" Target="http://www.eesti.ee" TargetMode="External" Id="rId55" /><Relationship Type="http://schemas.openxmlformats.org/officeDocument/2006/relationships/image" Target="media/image60.png" Id="rId76" /><Relationship Type="http://schemas.openxmlformats.org/officeDocument/2006/relationships/image" Target="media/image80.png" Id="rId97" /><Relationship Type="http://schemas.openxmlformats.org/officeDocument/2006/relationships/image" Target="media/image87.png" Id="rId104" /><Relationship Type="http://schemas.openxmlformats.org/officeDocument/2006/relationships/settings" Target="settings.xml" Id="rId7" /><Relationship Type="http://schemas.openxmlformats.org/officeDocument/2006/relationships/image" Target="media/image55.png" Id="rId71" /><Relationship Type="http://schemas.openxmlformats.org/officeDocument/2006/relationships/image" Target="media/image75.png" Id="rId92" /><Relationship Type="http://schemas.openxmlformats.org/officeDocument/2006/relationships/customXml" Target="../customXml/item2.xml" Id="rId2" /><Relationship Type="http://schemas.openxmlformats.org/officeDocument/2006/relationships/image" Target="media/image18.png" Id="rId29" /><Relationship Type="http://schemas.openxmlformats.org/officeDocument/2006/relationships/image" Target="media/image14.png" Id="rId24" /><Relationship Type="http://schemas.openxmlformats.org/officeDocument/2006/relationships/image" Target="media/image29.png" Id="rId40" /><Relationship Type="http://schemas.openxmlformats.org/officeDocument/2006/relationships/image" Target="media/image34.png" Id="rId45" /><Relationship Type="http://schemas.openxmlformats.org/officeDocument/2006/relationships/hyperlink" Target="http://www.eesti.ee" TargetMode="External" Id="rId66" /><Relationship Type="http://schemas.openxmlformats.org/officeDocument/2006/relationships/image" Target="media/image70.png" Id="rId87" /><Relationship Type="http://schemas.openxmlformats.org/officeDocument/2006/relationships/footer" Target="footer3.xml" Id="rId110" /><Relationship Type="http://schemas.openxmlformats.org/officeDocument/2006/relationships/image" Target="media/image48.png" Id="rId61" /><Relationship Type="http://schemas.openxmlformats.org/officeDocument/2006/relationships/image" Target="media/image65.svg" Id="rId82" /><Relationship Type="http://schemas.openxmlformats.org/officeDocument/2006/relationships/image" Target="media/image9.png" Id="rId19" /><Relationship Type="http://schemas.openxmlformats.org/officeDocument/2006/relationships/image" Target="media/image4.png" Id="rId14" /><Relationship Type="http://schemas.openxmlformats.org/officeDocument/2006/relationships/image" Target="media/image19.svg" Id="rId30" /><Relationship Type="http://schemas.openxmlformats.org/officeDocument/2006/relationships/image" Target="media/image24.png" Id="rId35" /><Relationship Type="http://schemas.openxmlformats.org/officeDocument/2006/relationships/hyperlink" Target="http://www.osale.ee" TargetMode="External" Id="rId56" /><Relationship Type="http://schemas.openxmlformats.org/officeDocument/2006/relationships/image" Target="media/image61.png" Id="rId77" /><Relationship Type="http://schemas.openxmlformats.org/officeDocument/2006/relationships/image" Target="media/image83.png" Id="rId100" /><Relationship Type="http://schemas.openxmlformats.org/officeDocument/2006/relationships/header" Target="header1.xml" Id="rId105" /><Relationship Type="http://schemas.openxmlformats.org/officeDocument/2006/relationships/webSettings" Target="webSettings.xml" Id="rId8" /><Relationship Type="http://schemas.openxmlformats.org/officeDocument/2006/relationships/image" Target="media/image40.png" Id="rId51" /><Relationship Type="http://schemas.openxmlformats.org/officeDocument/2006/relationships/image" Target="media/image56.emf" Id="rId72" /><Relationship Type="http://schemas.openxmlformats.org/officeDocument/2006/relationships/image" Target="media/image76.png" Id="rId93" /><Relationship Type="http://schemas.openxmlformats.org/officeDocument/2006/relationships/image" Target="media/image81.png" Id="rId98" /><Relationship Type="http://schemas.openxmlformats.org/officeDocument/2006/relationships/customXml" Target="../customXml/item3.xml" Id="rId3" /><Relationship Type="http://schemas.openxmlformats.org/officeDocument/2006/relationships/image" Target="media/image15.png" Id="rId25" /><Relationship Type="http://schemas.openxmlformats.org/officeDocument/2006/relationships/image" Target="media/image35.png" Id="rId46" /><Relationship Type="http://schemas.openxmlformats.org/officeDocument/2006/relationships/image" Target="media/image51.png" Id="rId67" /><Relationship Type="http://schemas.openxmlformats.org/officeDocument/2006/relationships/image" Target="media/image10.png" Id="rId20" /><Relationship Type="http://schemas.openxmlformats.org/officeDocument/2006/relationships/image" Target="media/image30.svg" Id="rId41" /><Relationship Type="http://schemas.openxmlformats.org/officeDocument/2006/relationships/image" Target="media/image49.png" Id="rId62" /><Relationship Type="http://schemas.openxmlformats.org/officeDocument/2006/relationships/image" Target="media/image66.png" Id="rId83" /><Relationship Type="http://schemas.openxmlformats.org/officeDocument/2006/relationships/image" Target="media/image71.png" Id="rId88" /><Relationship Type="http://schemas.openxmlformats.org/officeDocument/2006/relationships/fontTable" Target="fontTable.xml" Id="rId111"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LBIRNIE_E\AppData\Roaming\Microsoft\Templates\ONE%20Author%20ODPub.dotx" TargetMode="External"/></Relationships>
</file>

<file path=word/theme/theme1.xml><?xml version="1.0" encoding="utf-8"?>
<a:theme xmlns:a="http://schemas.openxmlformats.org/drawingml/2006/main" name="Office Theme">
  <a:themeElements>
    <a:clrScheme name="OECD-Light Blue (Default)">
      <a:dk1>
        <a:sysClr val="windowText" lastClr="000000"/>
      </a:dk1>
      <a:lt1>
        <a:sysClr val="window" lastClr="FFFFFF"/>
      </a:lt1>
      <a:dk2>
        <a:srgbClr val="3F3F3F"/>
      </a:dk2>
      <a:lt2>
        <a:srgbClr val="EEECE1"/>
      </a:lt2>
      <a:accent1>
        <a:srgbClr val="4E81BD"/>
      </a:accent1>
      <a:accent2>
        <a:srgbClr val="FFFFFF"/>
      </a:accent2>
      <a:accent3>
        <a:srgbClr val="EEECE1"/>
      </a:accent3>
      <a:accent4>
        <a:srgbClr val="448114"/>
      </a:accent4>
      <a:accent5>
        <a:srgbClr val="4E81BD"/>
      </a:accent5>
      <a:accent6>
        <a:srgbClr val="F79646"/>
      </a:accent6>
      <a:hlink>
        <a:srgbClr val="0000FF"/>
      </a:hlink>
      <a:folHlink>
        <a:srgbClr val="800080"/>
      </a:folHlink>
    </a:clrScheme>
    <a:fontScheme name="OECD-Arial">
      <a:majorFont>
        <a:latin typeface="Arial Narrow"/>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83A5365945FB4FB67E7D55540DD4AF" ma:contentTypeVersion="10" ma:contentTypeDescription="Create a new document." ma:contentTypeScope="" ma:versionID="6daf4fb1011b4f20905e971498b9b60a">
  <xsd:schema xmlns:xsd="http://www.w3.org/2001/XMLSchema" xmlns:xs="http://www.w3.org/2001/XMLSchema" xmlns:p="http://schemas.microsoft.com/office/2006/metadata/properties" xmlns:ns2="7ed0ac92-bd02-463e-8d88-185c6a052b2b" xmlns:ns3="782a27e4-222f-4801-85ad-fe77cea18bfd" targetNamespace="http://schemas.microsoft.com/office/2006/metadata/properties" ma:root="true" ma:fieldsID="f99e5b1422eb1a396441fcf3fc724ffa" ns2:_="" ns3:_="">
    <xsd:import namespace="7ed0ac92-bd02-463e-8d88-185c6a052b2b"/>
    <xsd:import namespace="782a27e4-222f-4801-85ad-fe77cea18bf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0ac92-bd02-463e-8d88-185c6a052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2a27e4-222f-4801-85ad-fe77cea18bf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oecd-en.xsl" StyleName="OECD English" Version="20220221">
  <b:Source>
    <b:Tag>Mend_I5iOc2w6yDG7UBAYJdq___g</b:Tag>
    <b:SourceType>Book</b:SourceType>
    <b:Guid>{738E9823-3A6C-31C8-BB50-101825DABFFA}</b:Guid>
    <b:Title>Survey on Measuring Citizen Satisfaction with key Government Services</b:Title>
    <b:Year>2024</b:Year>
    <b:Author>
      <b:Author>
        <b:NameList>
          <b:Person>
            <b:Last>OECD</b:Last>
          </b:Person>
        </b:NameList>
      </b:Author>
    </b:Author>
    <b:LCID>en-US</b:LCID>
    <b:Version>Mendeley</b:Version>
    <b:RefOrder>15</b:RefOrder>
  </b:Source>
  <b:Source>
    <b:Tag>Mend_WQB43JqcATyviA0X2cl2QA</b:Tag>
    <b:SourceType>Book</b:SourceType>
    <b:Guid>{DC780059-9C9A-3C01-AF88-0D17D9C97640}</b:Guid>
    <b:Title>Toolbox for designing digital public services</b:Title>
    <b:Author>
      <b:Author>
        <b:NameList>
          <b:Person>
            <b:Last>Ministry of Economic Affairs and Communications</b:Last>
          </b:Person>
        </b:NameList>
      </b:Author>
    </b:Author>
    <b:URL>https://digiriik.eesti.ee/</b:URL>
    <b:LCID>en-US</b:LCID>
    <b:Version>Mendeley</b:Version>
    <b:RefOrder>5</b:RefOrder>
  </b:Source>
  <b:Source>
    <b:Tag>Mend_zMvzr5KjVD6mPwyMQt2NlQ</b:Tag>
    <b:SourceType>Book</b:SourceType>
    <b:Guid>{AFF3CBCC-A392-3E54-A63F-0C8C42DD8D95}</b:Guid>
    <b:Title>Action Plan for Designing Better Public Services: A Roadmap for Embedding Design in the Public Service</b:Title>
    <b:Year>2023</b:Year>
    <b:Author>
      <b:Author>
        <b:NameList>
          <b:Person>
            <b:Last>Government of Ireland</b:Last>
          </b:Person>
        </b:NameList>
      </b:Author>
    </b:Author>
    <b:URL>https://assets.gov.ie/static/documents/action-plan-for-designing-better-public-services.pdf</b:URL>
    <b:LCID>en-US</b:LCID>
    <b:Version>Mendeley</b:Version>
    <b:RefOrder>7</b:RefOrder>
  </b:Source>
  <b:Source>
    <b:Tag>Mend_H5vIvzaGGDSQxMWtNUQqUg</b:Tag>
    <b:SourceType>Book</b:SourceType>
    <b:Guid>{BFC89B1F-8636-3418-90C4-C5AD35442A52}</b:Guid>
    <b:Title>Better Public Services: Service Design Resources</b:Title>
    <b:Year>2025</b:Year>
    <b:Author>
      <b:Author>
        <b:NameList>
          <b:Person>
            <b:Last>Department of Public Expenditure</b:Last>
            <b:First>Infrastructure, Public Service Reform and Digitalisation</b:First>
          </b:Person>
        </b:NameList>
      </b:Author>
    </b:Author>
    <b:URL>https://www.gov.ie/en/department-of-public-expenditure-infrastructure-public-service-reform-and-digitalisation/publications/better-public-services-service-design-resources/</b:URL>
    <b:LCID>en-US</b:LCID>
    <b:Version>Mendeley</b:Version>
    <b:RefOrder>8</b:RefOrder>
  </b:Source>
  <b:Source>
    <b:Tag>Mend_6uZDDUC5wjOMrBVWa9g19Q</b:Tag>
    <b:SourceType>Book</b:SourceType>
    <b:Guid>{0D43E6EA-B940-33C2-8CAC-15566BD835F5}</b:Guid>
    <b:Title>Designing our Public Services: Design principles for Government in Ireland</b:Title>
    <b:Year>2022</b:Year>
    <b:Author>
      <b:Author>
        <b:NameList>
          <b:Person>
            <b:Last>Government of Ireland</b:Last>
          </b:Person>
        </b:NameList>
      </b:Author>
    </b:Author>
    <b:URL>https://assets.gov.ie/static/documents/designing-our-public-services.pdf</b:URL>
    <b:LCID>en-US</b:LCID>
    <b:Version>Mendeley</b:Version>
    <b:RefOrder>6</b:RefOrder>
  </b:Source>
  <b:Source>
    <b:Tag>Mend_e4sgpgfrFjuOO0phTEtveQ</b:Tag>
    <b:SourceType>Book</b:SourceType>
    <b:Guid>{A6208B7B-EB07-3B16-8E3B-4A614C4B6F79}</b:Guid>
    <b:Title>Recommendation of the Council on Human-Centred Public Administrative Services </b:Title>
    <b:Year>2024</b:Year>
    <b:Author>
      <b:Author>
        <b:NameList>
          <b:Person>
            <b:Last>OECD</b:Last>
          </b:Person>
        </b:NameList>
      </b:Author>
    </b:Author>
    <b:URL>https://legalinstruments.oecd.org/en/instruments/OECD-LEGAL-0503</b:URL>
    <b:LCID>en-US</b:LCID>
    <b:Version>Mendeley</b:Version>
    <b:RefOrder>9</b:RefOrder>
  </b:Source>
  <b:Source>
    <b:Tag>Mend_H4ItoxWt1zaypxDr2hkIqQ</b:Tag>
    <b:SourceType>Book</b:SourceType>
    <b:Guid>{A32D821F-AD15-36D7-B2A7-10EBDA1908A9}</b:Guid>
    <b:Title>Personal Income Tax</b:Title>
    <b:Year>2025</b:Year>
    <b:Author>
      <b:Author>
        <b:NameList>
          <b:Person>
            <b:Last>State Revenue Service</b:Last>
          </b:Person>
        </b:NameList>
      </b:Author>
    </b:Author>
    <b:URL>https://www.vid.gov.lv/en/personal-income-tax</b:URL>
    <b:LCID>en-US</b:LCID>
    <b:Version>Mendeley</b:Version>
    <b:RefOrder>12</b:RefOrder>
  </b:Source>
  <b:Source>
    <b:Tag>Mend_VGDm34Ed7TiY8LIGdBFSCw</b:Tag>
    <b:SourceType>Book</b:SourceType>
    <b:Guid>{DFE66054-1D81-38ED-98F0-B2067411520B}</b:Guid>
    <b:Title>Programme to promote life-event-based digitalisation</b:Title>
    <b:Author>
      <b:Author>
        <b:NameList>
          <b:Person>
            <b:Last>Ministry of Finance</b:Last>
          </b:Person>
        </b:NameList>
      </b:Author>
    </b:Author>
    <b:URL>https://vm.fi/en/programme-to-promote-life-event-based-digitalisation</b:URL>
    <b:LCID>en-US</b:LCID>
    <b:Version>Mendeley</b:Version>
    <b:RefOrder>16</b:RefOrder>
  </b:Source>
  <b:Source>
    <b:Tag>Mend_3D67lUxdTjmhmslx8w5nRg</b:Tag>
    <b:SourceType>Book</b:SourceType>
    <b:Guid>{10ECBC89-6A10-4BB9-992B-F565DB8C373A}</b:Guid>
    <b:Title>Serving Citizens Survey</b:Title>
    <b:Author>
      <b:Author>
        <b:NameList>
          <b:Person>
            <b:Last>OECD</b:Last>
          </b:Person>
        </b:NameList>
      </b:Author>
    </b:Author>
    <b:LCID>en-US</b:LCID>
    <b:Version>Mendeley</b:Version>
    <b:Year>Forthcoming</b:Year>
    <b:RefOrder>17</b:RefOrder>
  </b:Source>
  <b:Source>
    <b:Tag>Mend_dskZclbaZDKSo10eG7pJlQ</b:Tag>
    <b:SourceType>Book</b:SourceType>
    <b:Guid>{7219C976-DA56-3264-92A3-5D1E1BBA4995}</b:Guid>
    <b:Title>State and local government unified customer service center network</b:Title>
    <b:Year>2025</b:Year>
    <b:Author>
      <b:Author>
        <b:NameList>
          <b:Person>
            <b:Last>Ministry of Smart Administration and Regional Development</b:Last>
          </b:Person>
        </b:NameList>
      </b:Author>
    </b:Author>
    <b:URL>https://www.varam.gov.lv/lv/vpvkac</b:URL>
    <b:LCID>en-US</b:LCID>
    <b:Version>Mendeley</b:Version>
    <b:RefOrder>19</b:RefOrder>
  </b:Source>
  <b:Source>
    <b:Tag>Mend_OXJlhaQL4TGA65nZ__bACwQ</b:Tag>
    <b:SourceType>Book</b:SourceType>
    <b:Guid>{85657239-0BA4-31E1-80EB-99D9F9B002C1}</b:Guid>
    <b:Title>Committee of the Federal Government, the Länder, Cities and Municipalities (BLSG) and the ICT Federation</b:Title>
    <b:Year>2025</b:Year>
    <b:Author>
      <b:Author>
        <b:NameList>
          <b:Person>
            <b:Last>Digital Austria</b:Last>
          </b:Person>
        </b:NameList>
      </b:Author>
    </b:Author>
    <b:URL>https://www.digitalaustria.gv.at/verwaltung/gremien/gremium-bund-laender-staedte-und-gemeinden.html</b:URL>
    <b:LCID>en-US</b:LCID>
    <b:Version>Mendeley</b:Version>
    <b:RefOrder>18</b:RefOrder>
  </b:Source>
  <b:Source>
    <b:Tag>Mend_65sxbaN0aDGDAOLq2n_3wA</b:Tag>
    <b:SourceType>Book</b:SourceType>
    <b:Guid>{6D319BEB-74A3-3168-8300-E2EADA7FF7C0}</b:Guid>
    <b:Title>OECD Legal Instruments</b:Title>
    <b:YearAccessed>2025</b:YearAccessed>
    <b:MonthAccessed>10</b:MonthAccessed>
    <b:DayAccessed>23</b:DayAccessed>
    <b:URL>https://legalinstruments.oecd.org/en/instruments/OECD-LEGAL-0503</b:URL>
    <b:LCID>en-US</b:LCID>
    <b:Version>Mendeley</b:Version>
    <b:RefOrder>28</b:RefOrder>
  </b:Source>
  <b:Source>
    <b:Tag>Kapp_795de142</b:Tag>
    <b:SourceType>Book</b:SourceType>
    <b:Title>Governing with Artificial Intelligence: The State of Play and Way Forward in Core Government Functions</b:Title>
    <b:Year>2025</b:Year>
    <b:Publisher>OECD Publishing, Paris</b:Publisher>
    <b:Author>
      <b:Author>
        <b:Corporate>OECD</b:Corporate>
      </b:Author>
    </b:Author>
    <b:DOI>10.1787/795de142-en</b:DOI>
    <b:LCID>en-GB</b:LCID>
    <b:Version>Kappa</b:Version>
    <b:RefOrder>11</b:RefOrder>
  </b:Source>
  <b:Source>
    <b:Tag>Kapp_9a20554b</b:Tag>
    <b:SourceType>Book</b:SourceType>
    <b:Title>OECD Survey on Drivers of Trust in Public Institutions – 2024 Results: Building Trust in a Complex Policy Environment</b:Title>
    <b:Year>2024</b:Year>
    <b:Publisher>OECD Publishing, Paris</b:Publisher>
    <b:Author>
      <b:Author>
        <b:Corporate>OECD</b:Corporate>
      </b:Author>
    </b:Author>
    <b:DOI>10.1787/9a20554b-en</b:DOI>
    <b:LCID>en-GB</b:LCID>
    <b:Version>Kappa</b:Version>
    <b:RefOrder>2</b:RefOrder>
  </b:Source>
  <b:Source>
    <b:Tag>Kapp_0efd0bcd</b:Tag>
    <b:SourceType>ArticleInAPeriodical</b:SourceType>
    <b:Title>Government at a Glance 2025</b:Title>
    <b:Year>2025</b:Year>
    <b:Publisher>OECD Publishing, Paris</b:Publisher>
    <b:Author>
      <b:Author>
        <b:Corporate>OECD</b:Corporate>
      </b:Author>
    </b:Author>
    <b:Medium>Book</b:Medium>
    <b:DOI>10.1787/0efd0bcd-en</b:DOI>
    <b:LCID>en-GB</b:LCID>
    <b:Version>Kappa</b:Version>
    <b:RefOrder>3</b:RefOrder>
  </b:Source>
  <b:Source>
    <b:Tag>Mend_cYUW__QkZZzalTFjUL6WT1Q</b:Tag>
    <b:SourceType>Book</b:SourceType>
    <b:Guid>{F9168571-1909-3667-A54C-58D42FA593D5}</b:Guid>
    <b:Title>OECD Legal Instruments</b:Title>
    <b:YearAccessed>2025</b:YearAccessed>
    <b:MonthAccessed>11</b:MonthAccessed>
    <b:DayAccessed>18</b:DayAccessed>
    <b:URL>https://legalinstruments.oecd.org/en/instruments/OECD-LEGAL-0503</b:URL>
    <b:LCID>en-US</b:LCID>
    <b:Version>Mendeley</b:Version>
    <b:RefOrder>29</b:RefOrder>
  </b:Source>
  <b:Source>
    <b:Tag>OEC251</b:Tag>
    <b:SourceType>Book</b:SourceType>
    <b:Guid>{1B519843-310C-4828-8115-75B8DEF694C2}</b:Guid>
    <b:Author>
      <b:Author>
        <b:Corporate>OECD</b:Corporate>
      </b:Author>
    </b:Author>
    <b:Title>Simplifying for Success, Insights from OECD Surveys</b:Title>
    <b:Year>2025</b:Year>
    <b:Publisher>Background paper prepared for the OECD High-level Symposium, 17-18 November 2025, Paris</b:Publisher>
    <b:RefOrder>21</b:RefOrder>
  </b:Source>
  <b:Source>
    <b:Tag>Slo25</b:Tag>
    <b:SourceType>Book</b:SourceType>
    <b:Guid>{F1B7557E-0226-425E-9FDF-5DA889E31054}</b:Guid>
    <b:Author>
      <b:Author>
        <b:Corporate>Slovenia's Ministry of Higher Education, Science and Innovation</b:Corporate>
      </b:Author>
    </b:Author>
    <b:Title>eVŠ web portal</b:Title>
    <b:Year>2025</b:Year>
    <b:DOI>http://portal.evs.gov.si/prijava/?locale=en </b:DOI>
    <b:RefOrder>25</b:RefOrder>
  </b:Source>
  <b:Source>
    <b:Tag>OEC24</b:Tag>
    <b:SourceType>JournalArticle</b:SourceType>
    <b:Guid>{80B4DCD3-C000-4368-B7E2-86BA7A1D4932}</b:Guid>
    <b:Title>2023 OECD Digital Government Index: Results and key findings</b:Title>
    <b:JournalName>OECD Public Governance Policy Papers, No. 44, OECD Publishing, Paris</b:JournalName>
    <b:Year>2024</b:Year>
    <b:DOI>https://doi.org/10.1787/1a89ed5e-en</b:DOI>
    <b:Author>
      <b:Author>
        <b:Corporate>OECD</b:Corporate>
      </b:Author>
    </b:Author>
    <b:RefOrder>4</b:RefOrder>
  </b:Source>
  <b:Source>
    <b:Tag>OEC205</b:Tag>
    <b:SourceType>Book</b:SourceType>
    <b:Guid>{71222C48-E02B-4966-9E5C-93C9FC6DBB52}</b:Guid>
    <b:Author>
      <b:Author>
        <b:Corporate>OECD</b:Corporate>
      </b:Author>
    </b:Author>
    <b:Title>The OECD Digital Government Policy Framework: Six dimensions of a digital government</b:Title>
    <b:Year>2020</b:Year>
    <b:Publisher>OECD Publishing, Paris</b:Publisher>
    <b:URL>https://www.oecd.org/en/publications/the-oecd-digital-government-policy-framework_f64fed2a-en.html</b:URL>
    <b:RefOrder>10</b:RefOrder>
  </b:Source>
  <b:Source>
    <b:Tag>Mend_1foEf6u6mjeAR1CPPoGp6Q</b:Tag>
    <b:SourceType>Book</b:SourceType>
    <b:Guid>{7F04FAD5-BAAB-379A-8047-508F3E81A9E9}</b:Guid>
    <b:Title>Staff working document on the policy programme: a path to the digital decade | Shaping Europe’s digital future</b:Title>
    <b:YearAccessed>2025</b:YearAccessed>
    <b:MonthAccessed>11</b:MonthAccessed>
    <b:DayAccessed>28</b:DayAccessed>
    <b:URL>https://digital-strategy.ec.europa.eu/en/library/staff-working-document-policy-programme-path-digital-decade</b:URL>
    <b:LCID>en-US</b:LCID>
    <b:Version>Mendeley</b:Version>
    <b:RefOrder>30</b:RefOrder>
  </b:Source>
  <b:Source>
    <b:Tag>Mend_kFOsx__1Awz6R5ufQRYAZaA</b:Tag>
    <b:SourceType>Book</b:SourceType>
    <b:Guid>{C7AC5390-40ED-3EC3-91E6-E7D045801968}</b:Guid>
    <b:Title>Recommendation of the Council on Human-Centred Public Administrative Services </b:Title>
    <b:Year>2024</b:Year>
    <b:Author>
      <b:Author>
        <b:NameList>
          <b:Person>
            <b:Last>OECD</b:Last>
          </b:Person>
        </b:NameList>
      </b:Author>
    </b:Author>
    <b:LCID>en-US</b:LCID>
    <b:Version>Mendeley</b:Version>
    <b:RefOrder>1</b:RefOrder>
  </b:Source>
  <b:Source>
    <b:Tag>Mend_dlSLC5zWwDCJ0zfgV5qSXg</b:Tag>
    <b:SourceType>BookSection</b:SourceType>
    <b:Guid>{0B8B5476-D69C-30C0-89D3-37E0579A925E}</b:Guid>
    <b:Title>DECISION (EU) 2022/2481 OF THE EUROPEAN PARLIAMENT AND OF THE COUNCIL of 14 December 2022 establishing the Digital Decade Policy Programme 2030</b:Title>
    <b:Year>2022</b:Year>
    <b:Author>
      <b:Author>
        <b:NameList>
          <b:Person>
            <b:Last>European Commission</b:Last>
          </b:Person>
        </b:NameList>
      </b:Author>
    </b:Author>
    <b:Medium>Working Paper</b:Medium>
    <b:LCID>en-US</b:LCID>
    <b:Version>Mendeley</b:Version>
    <b:RefOrder>31</b:RefOrder>
  </b:Source>
  <b:Source>
    <b:Tag>Mend_NrT_EJNQ_zuNshe2PS0KOQ</b:Tag>
    <b:SourceType>BookSection</b:SourceType>
    <b:Guid>{10FFB436-5093-3BFF-8DB2-17B63D2D0A39}</b:Guid>
    <b:Title>Staff working document on the policy programme: a path to the digital decade</b:Title>
    <b:Year>2021</b:Year>
    <b:Author>
      <b:Author>
        <b:NameList>
          <b:Person>
            <b:Last>European Commission</b:Last>
          </b:Person>
        </b:NameList>
      </b:Author>
    </b:Author>
    <b:Medium>Working Paper</b:Medium>
    <b:LCID>en-US</b:LCID>
    <b:Version>Mendeley</b:Version>
    <b:RefOrder>14</b:RefOrder>
  </b:Source>
  <b:Source>
    <b:Tag>Mend_tRE13M6F1j__92E_yLDgFiw</b:Tag>
    <b:SourceType>Book</b:SourceType>
    <b:Guid>{DC3511B5-85CE-3FD6-BDD8-4FF22C38058B}</b:Guid>
    <b:Title>National Development Plan of Latvia for 2021-2027</b:Title>
    <b:Year>2024</b:Year>
    <b:Author>
      <b:Author>
        <b:NameList>
          <b:Person>
            <b:Last>Cabinet of Ministers</b:Last>
          </b:Person>
        </b:NameList>
      </b:Author>
    </b:Author>
    <b:URL>https://www.mk.gov.lv/lv/latvijas-nacionalais-attistibas-plans#:~:text=Nacion%C4%81lais%20att%C4%ABst%C4%ABbas%20pl%C4%81ns%20nosaka%20liel%C4%81kos%20valsts%20bud%C5%BEeta%20ieguld%C4%ABjumus,virzienus%2C%20k%C4%81%20ar%C4%AB%20pl%C4%81not%C4%81s%20reformas%20un%20politikas%20izmai%C5%86as.</b:URL>
    <b:LCID>en-US</b:LCID>
    <b:Version>Mendeley</b:Version>
    <b:RefOrder>26</b:RefOrder>
  </b:Source>
  <b:Source>
    <b:Tag>OEC183</b:Tag>
    <b:SourceType>Book</b:SourceType>
    <b:Guid>{DCF4A231-8C7C-4E50-A98C-2413BDF0AEE8}</b:Guid>
    <b:Author>
      <b:Author>
        <b:Corporate>OECD</b:Corporate>
      </b:Author>
    </b:Author>
    <b:Title>OECD Regulatory Enforcement and Inspections Toolkit</b:Title>
    <b:Year>2018</b:Year>
    <b:Publisher>OECD Publishing, Paris</b:Publisher>
    <b:URL>https://doi.org/10.1787/9789264303959-en.</b:URL>
    <b:RefOrder>22</b:RefOrder>
  </b:Source>
  <b:Source>
    <b:Tag>OEC25</b:Tag>
    <b:SourceType>Book</b:SourceType>
    <b:Guid>{9ED741C9-5A52-44C7-9131-9FA9A9AA651E}</b:Guid>
    <b:Author>
      <b:Author>
        <b:Corporate>OECD</b:Corporate>
      </b:Author>
    </b:Author>
    <b:Title>Best practice principles for licensing and permitting: How to manage risks while supporting growth</b:Title>
    <b:Year>2025</b:Year>
    <b:Publisher>OECD Publishing, Paris</b:Publisher>
    <b:Volume>OECD Policy Briefs, No. 38</b:Volume>
    <b:URL>https://doi.org/10.1787/5f63586d-en.</b:URL>
    <b:RefOrder>23</b:RefOrder>
  </b:Source>
  <b:Source>
    <b:Tag>OEC252</b:Tag>
    <b:SourceType>Book</b:SourceType>
    <b:Guid>{0A2039C3-2490-48E8-AA70-2948441D5768}</b:Guid>
    <b:Author>
      <b:Author>
        <b:Corporate>OECD</b:Corporate>
      </b:Author>
    </b:Author>
    <b:Title>Better Regulation Practices across the European Union 2025</b:Title>
    <b:Year>2025</b:Year>
    <b:Publisher>OECD Publishing, Paris</b:Publisher>
    <b:URL>https://doi.org/10.1787/6f007516-en.</b:URL>
    <b:RefOrder>27</b:RefOrder>
  </b:Source>
  <b:Source>
    <b:Tag>Gov254</b:Tag>
    <b:SourceType>InternetSite</b:SourceType>
    <b:Guid>{951481C5-1203-4705-A326-314B51C7EBDE}</b:Guid>
    <b:Author>
      <b:Author>
        <b:Corporate>Government of Ireland</b:Corporate>
      </b:Author>
    </b:Author>
    <b:Title>Digital Public Services Plan 2030</b:Title>
    <b:Year>2025</b:Year>
    <b:Month>November</b:Month>
    <b:Day>7</b:Day>
    <b:URL>https://www.gov.ie/en/department-of-public-expenditure-infrastructure-public-service-reform-and-digitalisation/publications/digital-public-services-plan-2030/</b:URL>
    <b:RefOrder>24</b:RefOrder>
  </b:Source>
  <b:Source>
    <b:Tag>Gov241</b:Tag>
    <b:SourceType>InternetSite</b:SourceType>
    <b:Guid>{94D0CAEE-A712-4D8D-B190-033CDF79B8B2}</b:Guid>
    <b:Author>
      <b:Author>
        <b:Corporate>Government of Slovenia</b:Corporate>
      </b:Author>
    </b:Author>
    <b:Title>Digitalizirana registracija rojstev v Sloveniji</b:Title>
    <b:Year>2024</b:Year>
    <b:Month>April</b:Month>
    <b:Day>2</b:Day>
    <b:URL>https://www.gov.si/novice/2024-04-02-digitalizirana-registracija-rojstev-v-sloveniji/</b:URL>
    <b:RefOrder>13</b:RefOrder>
  </b:Source>
  <b:Source>
    <b:Tag>Gov231</b:Tag>
    <b:SourceType>InternetSite</b:SourceType>
    <b:Guid>{607F260F-6F0A-41DF-B47E-9F8559B1B44E}</b:Guid>
    <b:Author>
      <b:Author>
        <b:Corporate>Government of Ireland</b:Corporate>
      </b:Author>
    </b:Author>
    <b:Title>Minister Donohoe launches Public Service Innovation Fund</b:Title>
    <b:Year>2023</b:Year>
    <b:Month>December</b:Month>
    <b:Day>12</b:Day>
    <b:URL>https://www.gov.ie/en/department-of-public-expenditure-infrastructure-public-service-reform-and-digitalisation/press-releases/minister-donohoe-launches-public-service-innovation-fund/</b:URL>
    <b:RefOrder>20</b:RefOrder>
  </b:Source>
</b:Sources>
</file>

<file path=customXml/itemProps1.xml><?xml version="1.0" encoding="utf-8"?>
<ds:datastoreItem xmlns:ds="http://schemas.openxmlformats.org/officeDocument/2006/customXml" ds:itemID="{97D199BE-B029-492B-8D5C-07A9B152D9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0D7C34-2B2B-47B1-BD4F-D70BB8550398}">
  <ds:schemaRefs>
    <ds:schemaRef ds:uri="http://schemas.microsoft.com/sharepoint/v3/contenttype/forms"/>
  </ds:schemaRefs>
</ds:datastoreItem>
</file>

<file path=customXml/itemProps3.xml><?xml version="1.0" encoding="utf-8"?>
<ds:datastoreItem xmlns:ds="http://schemas.openxmlformats.org/officeDocument/2006/customXml" ds:itemID="{4D17886C-BA09-4CFE-BE4E-65017D7A3469}"/>
</file>

<file path=customXml/itemProps4.xml><?xml version="1.0" encoding="utf-8"?>
<ds:datastoreItem xmlns:ds="http://schemas.openxmlformats.org/officeDocument/2006/customXml" ds:itemID="{07C94424-6FEE-420A-A483-B29B734565D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ONE Author ODPub.dotx</ap:Template>
  <ap:Application>Microsoft Word for the web</ap:Application>
  <ap:DocSecurity>0</ap:DocSecurity>
  <ap:ScaleCrop>false</ap:ScaleCrop>
  <ap:Company>OECD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Measuring Citizen’s Satisfaction with key Government Services for better performance and enhanced trust</dc:title>
  <dc:subject>Guidance Paper on establishing an enabling environment within government for making public services more user-centric</dc:subject>
  <dc:creator>Emilie Balbirnie</dc:creator>
  <keywords>DOCUMENT CODE</keywords>
  <dc:description/>
  <lastModifiedBy>SHOYLEKOVA Mina (REFORM)</lastModifiedBy>
  <revision>10</revision>
  <lastPrinted>2026-04-17T15:58:00.0000000Z</lastPrinted>
  <dcterms:created xsi:type="dcterms:W3CDTF">2026-04-17T15:03:00.0000000Z</dcterms:created>
  <dcterms:modified xsi:type="dcterms:W3CDTF">2026-05-12T08:40:03.8734054Z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ECDTemplateVersion">
    <vt:lpwstr>3.25</vt:lpwstr>
  </property>
  <property fmtid="{D5CDD505-2E9C-101B-9397-08002B2CF9AE}" pid="3" name="OECDTemplateVersionOriginal">
    <vt:lpwstr>3.25</vt:lpwstr>
  </property>
  <property fmtid="{D5CDD505-2E9C-101B-9397-08002B2CF9AE}" pid="4" name="OECDTemplateName">
    <vt:lpwstr>ONE Author ODPub.dotx</vt:lpwstr>
  </property>
  <property fmtid="{D5CDD505-2E9C-101B-9397-08002B2CF9AE}" pid="5" name="OECDTemplateLocation">
    <vt:lpwstr>W:\Office2016\Workgroup Templates</vt:lpwstr>
  </property>
  <property fmtid="{D5CDD505-2E9C-101B-9397-08002B2CF9AE}" pid="6" name="OECDDocumentId">
    <vt:lpwstr>D7721B28B067AFD6C34C729FCA205DA41E801B6CC06EAA0D1B4574CF591CCEA0</vt:lpwstr>
  </property>
  <property fmtid="{D5CDD505-2E9C-101B-9397-08002B2CF9AE}" pid="7" name="OecdDocumentCoteLangHash">
    <vt:lpwstr/>
  </property>
  <property fmtid="{D5CDD505-2E9C-101B-9397-08002B2CF9AE}" pid="8" name="ClassificationContentMarkingFooterShapeIds">
    <vt:lpwstr>7db62d3,39ee3c69,4d7da84,79ba156,37c8a9dd,ab53a60</vt:lpwstr>
  </property>
  <property fmtid="{D5CDD505-2E9C-101B-9397-08002B2CF9AE}" pid="9" name="ClassificationContentMarkingFooterFontProps">
    <vt:lpwstr>#0000ff,10,Calibri</vt:lpwstr>
  </property>
  <property fmtid="{D5CDD505-2E9C-101B-9397-08002B2CF9AE}" pid="10" name="ClassificationContentMarkingFooterText">
    <vt:lpwstr>Restricted Use - À usage restreint</vt:lpwstr>
  </property>
  <property fmtid="{D5CDD505-2E9C-101B-9397-08002B2CF9AE}" pid="11" name="MSIP_Label_0e5510b0-e729-4ef0-a3dd-4ba0dfe56c99_Enabled">
    <vt:lpwstr>true</vt:lpwstr>
  </property>
  <property fmtid="{D5CDD505-2E9C-101B-9397-08002B2CF9AE}" pid="12" name="MSIP_Label_0e5510b0-e729-4ef0-a3dd-4ba0dfe56c99_SetDate">
    <vt:lpwstr>2025-10-17T10:57:44Z</vt:lpwstr>
  </property>
  <property fmtid="{D5CDD505-2E9C-101B-9397-08002B2CF9AE}" pid="13" name="MSIP_Label_0e5510b0-e729-4ef0-a3dd-4ba0dfe56c99_Method">
    <vt:lpwstr>Standard</vt:lpwstr>
  </property>
  <property fmtid="{D5CDD505-2E9C-101B-9397-08002B2CF9AE}" pid="14" name="MSIP_Label_0e5510b0-e729-4ef0-a3dd-4ba0dfe56c99_Name">
    <vt:lpwstr>Restricted Use</vt:lpwstr>
  </property>
  <property fmtid="{D5CDD505-2E9C-101B-9397-08002B2CF9AE}" pid="15" name="MSIP_Label_0e5510b0-e729-4ef0-a3dd-4ba0dfe56c99_SiteId">
    <vt:lpwstr>ac41c7d4-1f61-460d-b0f4-fc925a2b471c</vt:lpwstr>
  </property>
  <property fmtid="{D5CDD505-2E9C-101B-9397-08002B2CF9AE}" pid="16" name="MSIP_Label_0e5510b0-e729-4ef0-a3dd-4ba0dfe56c99_ActionId">
    <vt:lpwstr>1ebfcc74-70e6-4fd0-bb46-1003cbf18983</vt:lpwstr>
  </property>
  <property fmtid="{D5CDD505-2E9C-101B-9397-08002B2CF9AE}" pid="17" name="MSIP_Label_0e5510b0-e729-4ef0-a3dd-4ba0dfe56c99_ContentBits">
    <vt:lpwstr>2</vt:lpwstr>
  </property>
  <property fmtid="{D5CDD505-2E9C-101B-9397-08002B2CF9AE}" pid="18" name="MSIP_Label_0e5510b0-e729-4ef0-a3dd-4ba0dfe56c99_Tag">
    <vt:lpwstr>10, 3, 0, 1</vt:lpwstr>
  </property>
  <property fmtid="{D5CDD505-2E9C-101B-9397-08002B2CF9AE}" pid="19" name="OECDKappaEnrichment">
    <vt:lpwstr>Online</vt:lpwstr>
  </property>
  <property fmtid="{D5CDD505-2E9C-101B-9397-08002B2CF9AE}" pid="20" name="ContentTypeId">
    <vt:lpwstr>0x010100EA83A5365945FB4FB67E7D55540DD4AF</vt:lpwstr>
  </property>
</Properties>
</file>